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/>
          <w:b/>
          <w:i w:val="0"/>
          <w:color w:val="3E97CF"/>
          <w:sz w:val="20"/>
          <w:spacing w:val="40"/>
        </w:rPr>
        <w:t>AGENDA PRELIMINAR</w:t>
      </w:r>
    </w:p>
    <w:p>
      <w:pPr>
        <w:spacing w:after="40"/>
      </w:pPr>
      <w:r>
        <w:rPr>
          <w:rFonts w:ascii="Poppins" w:hAnsi="Poppins"/>
          <w:b/>
          <w:i w:val="0"/>
          <w:color w:val="1C3D52"/>
          <w:sz w:val="40"/>
        </w:rPr>
        <w:t>Miércoles, 21 de octubre</w:t>
      </w:r>
    </w:p>
    <w:p>
      <w:pPr>
        <w:spacing w:after="80"/>
      </w:pPr>
      <w:r>
        <w:rPr>
          <w:rFonts w:ascii="Poppins" w:hAnsi="Poppins"/>
          <w:b w:val="0"/>
          <w:i/>
          <w:color w:val="52708A"/>
          <w:sz w:val="18"/>
        </w:rPr>
        <w:t>*Programa sujeto a cambios.</w:t>
      </w:r>
    </w:p>
    <w:p>
      <w:pPr>
        <w:spacing w:after="280"/>
        <w:pBdr>
          <w:bottom w:val="single" w:sz="18" w:space="1" w:color="5BDBE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start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00"/>
        <w:gridCol w:w="7460"/>
      </w:tblGrid>
      <w:tr>
        <w:tc>
          <w:tcPr>
            <w:tcW w:type="dxa" w:w="190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2C7BB0"/>
                <w:sz w:val="21"/>
              </w:rPr>
              <w:t>8:00 – 9:00</w:t>
            </w:r>
          </w:p>
        </w:tc>
        <w:tc>
          <w:tcPr>
            <w:tcW w:type="dxa" w:w="746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Registro</w:t>
            </w:r>
          </w:p>
        </w:tc>
      </w:tr>
    </w:tbl>
    <w:p>
      <w:pPr>
        <w:spacing w:after="0" w:before="0"/>
        <w:spacing w:after="1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start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00"/>
        <w:gridCol w:w="7460"/>
      </w:tblGrid>
      <w:tr>
        <w:tc>
          <w:tcPr>
            <w:tcW w:type="dxa" w:w="190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2C7BB0"/>
                <w:sz w:val="21"/>
              </w:rPr>
              <w:t>9:00 – 9:30</w:t>
            </w:r>
          </w:p>
        </w:tc>
        <w:tc>
          <w:tcPr>
            <w:tcW w:type="dxa" w:w="746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Bienvenida y apertura del evento</w:t>
            </w:r>
          </w:p>
        </w:tc>
      </w:tr>
    </w:tbl>
    <w:p>
      <w:pPr>
        <w:spacing w:after="0" w:before="0"/>
        <w:spacing w:after="1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E0EEF5"/>
          <w:bottom w:val="single" w:sz="8" w:space="0" w:color="E0EEF5"/>
          <w:start w:val="single" w:sz="8" w:space="0" w:color="E0EEF5"/>
          <w:end w:val="single" w:sz="8" w:space="0" w:color="E0EEF5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2C7BB0"/>
            <w:tcMar>
              <w:top w:w="130" w:type="dxa"/>
              <w:bottom w:w="130" w:type="dxa"/>
              <w:start w:w="210" w:type="dxa"/>
              <w:end w:w="210" w:type="dxa"/>
            </w:tcMar>
          </w:tcPr>
          <w:p>
            <w:pPr>
              <w:keepNext/>
              <w:tabs>
                <w:tab w:pos="8940" w:val="right"/>
              </w:tabs>
              <w:spacing w:after="0"/>
            </w:pPr>
            <w:r>
              <w:rPr>
                <w:rFonts w:ascii="Poppins" w:hAnsi="Poppins"/>
                <w:b/>
                <w:i w:val="0"/>
                <w:color w:val="FFFFFF"/>
                <w:sz w:val="22"/>
                <w:spacing w:val="20"/>
              </w:rPr>
              <w:t>SESIÓN 1</w:t>
            </w:r>
            <w:r>
              <w:tab/>
            </w:r>
            <w:r>
              <w:rPr>
                <w:rFonts w:ascii="Poppins" w:hAnsi="Poppins"/>
                <w:b/>
                <w:i w:val="0"/>
                <w:color w:val="D8EEF9"/>
                <w:sz w:val="20"/>
              </w:rPr>
              <w:t>9:30 – 10:45 hrs</w:t>
            </w:r>
          </w:p>
        </w:tc>
      </w:tr>
      <w:tr>
        <w:trPr>
          <w:cantSplit w:val="true"/>
        </w:trPr>
        <w:tc>
          <w:tcPr>
            <w:tcW w:type="dxa" w:w="9360"/>
            <w:shd w:val="clear" w:color="auto" w:fill="FFFFFF"/>
            <w:tcMar>
              <w:top w:w="200" w:type="dxa"/>
              <w:bottom w:w="200" w:type="dxa"/>
              <w:start w:w="210" w:type="dxa"/>
              <w:end w:w="210" w:type="dxa"/>
            </w:tcMar>
          </w:tcPr>
          <w:p>
            <w:pPr>
              <w:spacing w:after="160"/>
            </w:pPr>
            <w:r>
              <w:rPr>
                <w:rFonts w:ascii="Poppins" w:hAnsi="Poppins"/>
                <w:b/>
                <w:i w:val="0"/>
                <w:color w:val="1C3D52"/>
                <w:sz w:val="23"/>
              </w:rPr>
              <w:t>La evolución del autocuidado en 25 años: logros, transformaciones y próximas oportunidades en América Latina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MSc. Juan Thompson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Presidente Ejecutivo, ILAR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Sen. Emmanuel Reyes Carmona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Senador de la República, México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Dr. Josephine Fubara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Chair Elect, Global Self-Care Federation (GSCF) &amp; Chief Science Officer, Opella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Dra. Eva María Ruiz de Castilla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Directora Ejecutiva, Latin America Patients Academy (LAPA)</w:t>
            </w:r>
          </w:p>
          <w:p>
            <w:pPr>
              <w:spacing w:after="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Dr. José Moya Medina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Representante de la OPS/OMS en México</w:t>
            </w:r>
          </w:p>
        </w:tc>
      </w:tr>
    </w:tbl>
    <w:p>
      <w:pPr>
        <w:spacing w:after="0" w:before="0"/>
        <w:spacing w:after="1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start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00"/>
        <w:gridCol w:w="7460"/>
      </w:tblGrid>
      <w:tr>
        <w:tc>
          <w:tcPr>
            <w:tcW w:type="dxa" w:w="190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2C7BB0"/>
                <w:sz w:val="21"/>
              </w:rPr>
              <w:t>10:45 – 11:15</w:t>
            </w:r>
          </w:p>
        </w:tc>
        <w:tc>
          <w:tcPr>
            <w:tcW w:type="dxa" w:w="746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Break / Networking</w:t>
            </w:r>
          </w:p>
        </w:tc>
      </w:tr>
    </w:tbl>
    <w:p>
      <w:pPr>
        <w:spacing w:after="0" w:before="0"/>
        <w:spacing w:after="1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E0EEF5"/>
          <w:bottom w:val="single" w:sz="8" w:space="0" w:color="E0EEF5"/>
          <w:start w:val="single" w:sz="8" w:space="0" w:color="E0EEF5"/>
          <w:end w:val="single" w:sz="8" w:space="0" w:color="E0EEF5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2C7BB0"/>
            <w:tcMar>
              <w:top w:w="130" w:type="dxa"/>
              <w:bottom w:w="130" w:type="dxa"/>
              <w:start w:w="210" w:type="dxa"/>
              <w:end w:w="210" w:type="dxa"/>
            </w:tcMar>
          </w:tcPr>
          <w:p>
            <w:pPr>
              <w:keepNext/>
              <w:tabs>
                <w:tab w:pos="8940" w:val="right"/>
              </w:tabs>
              <w:spacing w:after="0"/>
            </w:pPr>
            <w:r>
              <w:rPr>
                <w:rFonts w:ascii="Poppins" w:hAnsi="Poppins"/>
                <w:b/>
                <w:i w:val="0"/>
                <w:color w:val="FFFFFF"/>
                <w:sz w:val="22"/>
                <w:spacing w:val="20"/>
              </w:rPr>
              <w:t>SESIÓN 2</w:t>
            </w:r>
            <w:r>
              <w:tab/>
            </w:r>
            <w:r>
              <w:rPr>
                <w:rFonts w:ascii="Poppins" w:hAnsi="Poppins"/>
                <w:b/>
                <w:i w:val="0"/>
                <w:color w:val="D8EEF9"/>
                <w:sz w:val="20"/>
              </w:rPr>
              <w:t>11:15 – 12:30 hrs</w:t>
            </w:r>
          </w:p>
        </w:tc>
      </w:tr>
      <w:tr>
        <w:trPr>
          <w:cantSplit w:val="true"/>
        </w:trPr>
        <w:tc>
          <w:tcPr>
            <w:tcW w:type="dxa" w:w="9360"/>
            <w:shd w:val="clear" w:color="auto" w:fill="FFFFFF"/>
            <w:tcMar>
              <w:top w:w="200" w:type="dxa"/>
              <w:bottom w:w="200" w:type="dxa"/>
              <w:start w:w="210" w:type="dxa"/>
              <w:end w:w="210" w:type="dxa"/>
            </w:tcMar>
          </w:tcPr>
          <w:p>
            <w:pPr>
              <w:spacing w:after="160"/>
            </w:pPr>
            <w:r>
              <w:rPr>
                <w:rFonts w:ascii="Poppins" w:hAnsi="Poppins"/>
                <w:b/>
                <w:i w:val="0"/>
                <w:color w:val="1C3D52"/>
                <w:sz w:val="23"/>
              </w:rPr>
              <w:t>Autocuidado como mecanismo de resiliencia, sostenibilidad y protección de la salud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Dra. Viviane Boaventura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Investigadora, FIOCRUZ · Brasil</w:t>
            </w:r>
          </w:p>
          <w:p>
            <w:pPr>
              <w:spacing w:after="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Prof. Raquel Mura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Rutgers University, New Jersey</w:t>
            </w:r>
          </w:p>
        </w:tc>
      </w:tr>
    </w:tbl>
    <w:p>
      <w:pPr>
        <w:spacing w:after="0" w:before="0"/>
        <w:spacing w:after="1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start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00"/>
        <w:gridCol w:w="7460"/>
      </w:tblGrid>
      <w:tr>
        <w:tc>
          <w:tcPr>
            <w:tcW w:type="dxa" w:w="190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2C7BB0"/>
                <w:sz w:val="21"/>
              </w:rPr>
              <w:t>12:30 – 14:30</w:t>
            </w:r>
          </w:p>
        </w:tc>
        <w:tc>
          <w:tcPr>
            <w:tcW w:type="dxa" w:w="746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Almuerzo / Networking</w:t>
            </w:r>
          </w:p>
        </w:tc>
      </w:tr>
    </w:tbl>
    <w:p>
      <w:pPr>
        <w:spacing w:after="0" w:before="0"/>
        <w:spacing w:after="1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E0EEF5"/>
          <w:bottom w:val="single" w:sz="8" w:space="0" w:color="E0EEF5"/>
          <w:start w:val="single" w:sz="8" w:space="0" w:color="E0EEF5"/>
          <w:end w:val="single" w:sz="8" w:space="0" w:color="E0EEF5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2C7BB0"/>
            <w:tcMar>
              <w:top w:w="130" w:type="dxa"/>
              <w:bottom w:w="130" w:type="dxa"/>
              <w:start w:w="210" w:type="dxa"/>
              <w:end w:w="210" w:type="dxa"/>
            </w:tcMar>
          </w:tcPr>
          <w:p>
            <w:pPr>
              <w:keepNext/>
              <w:tabs>
                <w:tab w:pos="8940" w:val="right"/>
              </w:tabs>
              <w:spacing w:after="0"/>
            </w:pPr>
            <w:r>
              <w:rPr>
                <w:rFonts w:ascii="Poppins" w:hAnsi="Poppins"/>
                <w:b/>
                <w:i w:val="0"/>
                <w:color w:val="FFFFFF"/>
                <w:sz w:val="22"/>
                <w:spacing w:val="20"/>
              </w:rPr>
              <w:t>SESIÓN 3</w:t>
            </w:r>
            <w:r>
              <w:tab/>
            </w:r>
            <w:r>
              <w:rPr>
                <w:rFonts w:ascii="Poppins" w:hAnsi="Poppins"/>
                <w:b/>
                <w:i w:val="0"/>
                <w:color w:val="D8EEF9"/>
                <w:sz w:val="20"/>
              </w:rPr>
              <w:t>14:30 – 15:30 hrs</w:t>
            </w:r>
          </w:p>
        </w:tc>
      </w:tr>
      <w:tr>
        <w:trPr>
          <w:cantSplit w:val="true"/>
        </w:trPr>
        <w:tc>
          <w:tcPr>
            <w:tcW w:type="dxa" w:w="9360"/>
            <w:shd w:val="clear" w:color="auto" w:fill="FFFFFF"/>
            <w:tcMar>
              <w:top w:w="200" w:type="dxa"/>
              <w:bottom w:w="200" w:type="dxa"/>
              <w:start w:w="210" w:type="dxa"/>
              <w:end w:w="210" w:type="dxa"/>
            </w:tcMar>
          </w:tcPr>
          <w:p>
            <w:pPr>
              <w:spacing w:after="160"/>
            </w:pPr>
            <w:r>
              <w:rPr>
                <w:rFonts w:ascii="Poppins" w:hAnsi="Poppins"/>
                <w:b/>
                <w:i w:val="0"/>
                <w:color w:val="1C3D52"/>
                <w:sz w:val="23"/>
              </w:rPr>
              <w:t>Autocuidado e innovación regulatoria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Q.F. Laura Otálora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Comité Regulatorio, ILAR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Prof. Junko Sato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Office Director, PMDA · Japón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Dra. Daniela Marreco Cerqueira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Directora 2ª Directoria, ANVISA · Brasil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PhD. Noe Geovanni García Iraheta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Superintendente de Regulación Sanitaria, SRS · El Salvador</w:t>
            </w:r>
          </w:p>
          <w:p>
            <w:pPr>
              <w:spacing w:after="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Dr. Daniel Antonio Sánchez Porcel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Director Ejecutivo, ARCSA · Ecuador</w:t>
            </w:r>
          </w:p>
        </w:tc>
      </w:tr>
    </w:tbl>
    <w:p>
      <w:pPr>
        <w:spacing w:after="0" w:before="0"/>
        <w:spacing w:after="1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start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00"/>
        <w:gridCol w:w="7460"/>
      </w:tblGrid>
      <w:tr>
        <w:tc>
          <w:tcPr>
            <w:tcW w:type="dxa" w:w="190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2C7BB0"/>
                <w:sz w:val="21"/>
              </w:rPr>
              <w:t>15:30 – 16:00</w:t>
            </w:r>
          </w:p>
        </w:tc>
        <w:tc>
          <w:tcPr>
            <w:tcW w:type="dxa" w:w="746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Break / Networking</w:t>
            </w:r>
          </w:p>
        </w:tc>
      </w:tr>
    </w:tbl>
    <w:p>
      <w:pPr>
        <w:spacing w:after="0" w:before="0"/>
        <w:spacing w:after="1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E0EEF5"/>
          <w:bottom w:val="single" w:sz="8" w:space="0" w:color="E0EEF5"/>
          <w:start w:val="single" w:sz="8" w:space="0" w:color="E0EEF5"/>
          <w:end w:val="single" w:sz="8" w:space="0" w:color="E0EEF5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2C7BB0"/>
            <w:tcMar>
              <w:top w:w="130" w:type="dxa"/>
              <w:bottom w:w="130" w:type="dxa"/>
              <w:start w:w="210" w:type="dxa"/>
              <w:end w:w="210" w:type="dxa"/>
            </w:tcMar>
          </w:tcPr>
          <w:p>
            <w:pPr>
              <w:keepNext/>
              <w:tabs>
                <w:tab w:pos="8940" w:val="right"/>
              </w:tabs>
              <w:spacing w:after="0"/>
            </w:pPr>
            <w:r>
              <w:rPr>
                <w:rFonts w:ascii="Poppins" w:hAnsi="Poppins"/>
                <w:b/>
                <w:i w:val="0"/>
                <w:color w:val="FFFFFF"/>
                <w:sz w:val="22"/>
                <w:spacing w:val="20"/>
              </w:rPr>
              <w:t>SESIÓN 4</w:t>
            </w:r>
            <w:r>
              <w:tab/>
            </w:r>
            <w:r>
              <w:rPr>
                <w:rFonts w:ascii="Poppins" w:hAnsi="Poppins"/>
                <w:b/>
                <w:i w:val="0"/>
                <w:color w:val="D8EEF9"/>
                <w:sz w:val="20"/>
              </w:rPr>
              <w:t>16:00 – 17:00 hrs</w:t>
            </w:r>
          </w:p>
        </w:tc>
      </w:tr>
      <w:tr>
        <w:trPr>
          <w:cantSplit w:val="true"/>
        </w:trPr>
        <w:tc>
          <w:tcPr>
            <w:tcW w:type="dxa" w:w="9360"/>
            <w:shd w:val="clear" w:color="auto" w:fill="FFFFFF"/>
            <w:tcMar>
              <w:top w:w="200" w:type="dxa"/>
              <w:bottom w:w="200" w:type="dxa"/>
              <w:start w:w="210" w:type="dxa"/>
              <w:end w:w="210" w:type="dxa"/>
            </w:tcMar>
          </w:tcPr>
          <w:p>
            <w:pPr>
              <w:spacing w:after="160"/>
            </w:pPr>
            <w:r>
              <w:rPr>
                <w:rFonts w:ascii="Poppins" w:hAnsi="Poppins"/>
                <w:b/>
                <w:i w:val="0"/>
                <w:color w:val="1C3D52"/>
                <w:sz w:val="23"/>
              </w:rPr>
              <w:t>Alfabetización, comunicación y confianza como hilos conductores del desarrollo del autocuidado en la región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Jesús Cabrera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Director General, Provokers México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MPH Alejandra Espinosa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Gerente, ILAR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Sra. Ana María Vesga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1er Vicepresidente ALAMI &amp; Presidente Ejecutiva ACEMI · Colombia</w:t>
            </w:r>
          </w:p>
          <w:p>
            <w:pPr>
              <w:spacing w:after="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Dra. Liliana Vargas Neri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Facultad de Química, UNAM</w:t>
            </w:r>
          </w:p>
        </w:tc>
      </w:tr>
    </w:tbl>
    <w:p>
      <w:pPr>
        <w:spacing w:after="0" w:before="0"/>
        <w:spacing w:after="1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E0EEF5"/>
          <w:bottom w:val="single" w:sz="8" w:space="0" w:color="E0EEF5"/>
          <w:start w:val="single" w:sz="8" w:space="0" w:color="E0EEF5"/>
          <w:end w:val="single" w:sz="8" w:space="0" w:color="E0EEF5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2C7BB0"/>
            <w:tcMar>
              <w:top w:w="130" w:type="dxa"/>
              <w:bottom w:w="130" w:type="dxa"/>
              <w:start w:w="210" w:type="dxa"/>
              <w:end w:w="210" w:type="dxa"/>
            </w:tcMar>
          </w:tcPr>
          <w:p>
            <w:pPr>
              <w:keepNext/>
              <w:tabs>
                <w:tab w:pos="8940" w:val="right"/>
              </w:tabs>
              <w:spacing w:after="0"/>
            </w:pPr>
            <w:r>
              <w:rPr>
                <w:rFonts w:ascii="Poppins" w:hAnsi="Poppins"/>
                <w:b/>
                <w:i w:val="0"/>
                <w:color w:val="FFFFFF"/>
                <w:sz w:val="22"/>
                <w:spacing w:val="20"/>
              </w:rPr>
              <w:t>PANEL</w:t>
            </w:r>
            <w:r>
              <w:tab/>
            </w:r>
            <w:r>
              <w:rPr>
                <w:rFonts w:ascii="Poppins" w:hAnsi="Poppins"/>
                <w:b/>
                <w:i w:val="0"/>
                <w:color w:val="D8EEF9"/>
                <w:sz w:val="20"/>
              </w:rPr>
              <w:t>17:00 – 17:45 hrs</w:t>
            </w:r>
          </w:p>
        </w:tc>
      </w:tr>
      <w:tr>
        <w:trPr>
          <w:cantSplit w:val="true"/>
        </w:trPr>
        <w:tc>
          <w:tcPr>
            <w:tcW w:type="dxa" w:w="9360"/>
            <w:shd w:val="clear" w:color="auto" w:fill="FFFFFF"/>
            <w:tcMar>
              <w:top w:w="200" w:type="dxa"/>
              <w:bottom w:w="200" w:type="dxa"/>
              <w:start w:w="210" w:type="dxa"/>
              <w:end w:w="210" w:type="dxa"/>
            </w:tcMar>
          </w:tcPr>
          <w:p>
            <w:pPr>
              <w:spacing w:after="160"/>
            </w:pPr>
            <w:r>
              <w:rPr>
                <w:rFonts w:ascii="Poppins" w:hAnsi="Poppins"/>
                <w:b/>
                <w:i w:val="0"/>
                <w:color w:val="1C3D52"/>
                <w:sz w:val="23"/>
              </w:rPr>
              <w:t>Panel de lanzamiento oficial de la Coalición Latinoamericana para la Alfabetización en Salud (CLAPAS)</w:t>
            </w:r>
          </w:p>
          <w:p>
            <w:pPr>
              <w:spacing w:after="8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Dr. José Renan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Secretario General, SE-COMISCA</w:t>
            </w:r>
          </w:p>
          <w:p>
            <w:pPr>
              <w:spacing w:after="0"/>
              <w:ind w:left="40"/>
            </w:pPr>
            <w:r>
              <w:rPr>
                <w:rFonts w:ascii="Poppins" w:hAnsi="Poppins"/>
                <w:b/>
                <w:i w:val="0"/>
                <w:color w:val="3E97CF"/>
                <w:sz w:val="21"/>
              </w:rPr>
              <w:t xml:space="preserve">•  </w:t>
            </w: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Dr. Alexander León Sánchez Cabo</w:t>
            </w:r>
            <w:r>
              <w:rPr>
                <w:rFonts w:ascii="Poppins" w:hAnsi="Poppins"/>
                <w:b w:val="0"/>
                <w:i w:val="0"/>
                <w:color w:val="52708A"/>
                <w:sz w:val="19"/>
              </w:rPr>
              <w:t xml:space="preserve">  —  Ministro de Salud, República de Costa Rica</w:t>
            </w:r>
          </w:p>
        </w:tc>
      </w:tr>
    </w:tbl>
    <w:p>
      <w:pPr>
        <w:spacing w:after="0" w:before="0"/>
        <w:spacing w:after="1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start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00"/>
        <w:gridCol w:w="7460"/>
      </w:tblGrid>
      <w:tr>
        <w:tc>
          <w:tcPr>
            <w:tcW w:type="dxa" w:w="190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2C7BB0"/>
                <w:sz w:val="21"/>
              </w:rPr>
              <w:t>17:45 – 18:00</w:t>
            </w:r>
          </w:p>
        </w:tc>
        <w:tc>
          <w:tcPr>
            <w:tcW w:type="dxa" w:w="746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Conclusiones y cierre</w:t>
            </w:r>
          </w:p>
        </w:tc>
      </w:tr>
    </w:tbl>
    <w:p>
      <w:pPr>
        <w:spacing w:after="0" w:before="0"/>
        <w:spacing w:after="1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start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00"/>
        <w:gridCol w:w="7460"/>
      </w:tblGrid>
      <w:tr>
        <w:tc>
          <w:tcPr>
            <w:tcW w:type="dxa" w:w="190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2C7BB0"/>
                <w:sz w:val="21"/>
              </w:rPr>
              <w:t>19:30 – 21:30</w:t>
            </w:r>
          </w:p>
        </w:tc>
        <w:tc>
          <w:tcPr>
            <w:tcW w:type="dxa" w:w="7460"/>
            <w:shd w:val="clear" w:color="auto" w:fill="F1FAFD"/>
            <w:vAlign w:val="center"/>
            <w:tcMar>
              <w:top w:w="110" w:type="dxa"/>
              <w:bottom w:w="110" w:type="dxa"/>
              <w:start w:w="170" w:type="dxa"/>
              <w:end w:w="150" w:type="dxa"/>
            </w:tcMar>
          </w:tcPr>
          <w:p>
            <w:pPr>
              <w:spacing w:after="0"/>
            </w:pPr>
            <w:r>
              <w:rPr>
                <w:rFonts w:ascii="Poppins" w:hAnsi="Poppins"/>
                <w:b/>
                <w:i w:val="0"/>
                <w:color w:val="1C3D52"/>
                <w:sz w:val="21"/>
              </w:rPr>
              <w:t>Cena de apertura del II Foro de Alto Nivel sobre el Autocuidado</w:t>
            </w:r>
          </w:p>
          <w:p>
            <w:pPr>
              <w:spacing w:before="40" w:after="0"/>
            </w:pPr>
            <w:r>
              <w:rPr>
                <w:rFonts w:ascii="Poppins" w:hAnsi="Poppins"/>
                <w:b w:val="0"/>
                <w:i/>
                <w:color w:val="52708A"/>
                <w:sz w:val="17"/>
              </w:rPr>
              <w:t>Evento exclusivo para autoridades reguladoras, ponentes, invitados especiales y patrocinadores del evento.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740" w:right="1440" w:bottom="1080" w:left="144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 w:space="0" w:color="auto"/>
        <w:bottom w:val="none" w:sz="0" w:space="0" w:color="auto"/>
        <w:start w:val="none" w:sz="0" w:space="0" w:color="auto"/>
        <w:end w:val="none" w:sz="0" w:space="0" w:color="auto"/>
        <w:insideH w:val="none" w:sz="0" w:space="0" w:color="auto"/>
        <w:insideV w:val="none" w:sz="0" w:space="0" w:color="auto"/>
      </w:tblBorders>
    </w:tblPr>
    <w:tblGrid>
      <w:gridCol w:w="5600"/>
      <w:gridCol w:w="3760"/>
    </w:tblGrid>
    <w:tr>
      <w:tc>
        <w:tcPr>
          <w:tcW w:type="dxa" w:w="5600"/>
          <w:shd w:val="clear" w:color="auto" w:fill="2C7BB0"/>
          <w:vAlign w:val="center"/>
          <w:tcMar>
            <w:top w:w="170" w:type="dxa"/>
            <w:bottom w:w="170" w:type="dxa"/>
            <w:start w:w="260" w:type="dxa"/>
            <w:end w:w="260" w:type="dxa"/>
          </w:tcMar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855380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la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5380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760"/>
          <w:shd w:val="clear" w:color="auto" w:fill="2C7BB0"/>
          <w:vAlign w:val="center"/>
          <w:tcMar>
            <w:top w:w="170" w:type="dxa"/>
            <w:bottom w:w="170" w:type="dxa"/>
            <w:start w:w="260" w:type="dxa"/>
            <w:end w:w="260" w:type="dxa"/>
          </w:tcMar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55453" cy="56692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25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453" cy="5669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 w:eastAsia="Poppins"/>
      <w:color w:val="1C3D5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