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Pr="00C53A81" w:rsidRDefault="0043787D">
      <w:pPr>
        <w:rPr>
          <w:rFonts w:ascii="Arial" w:hAnsi="Arial" w:cs="Arial"/>
          <w:lang w:val="es-MX"/>
        </w:rPr>
      </w:pPr>
    </w:p>
    <w:p w14:paraId="5545D6A9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53BF3D11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CB4613B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4BFDA1D0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0AE705F5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AF3EE95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FBB224B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4BA83451" w14:textId="77777777" w:rsidR="00EF5F89" w:rsidRPr="00C53A81" w:rsidRDefault="00EF5F89">
      <w:pPr>
        <w:rPr>
          <w:rFonts w:ascii="Arial" w:hAnsi="Arial" w:cs="Arial"/>
          <w:lang w:val="es-MX"/>
        </w:rPr>
      </w:pPr>
    </w:p>
    <w:p w14:paraId="1F27BFA2" w14:textId="34B884BD" w:rsidR="00A17421" w:rsidRPr="00C53A81" w:rsidRDefault="002C1E34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6987416"/>
      <w:r w:rsidRPr="00C53A81">
        <w:rPr>
          <w:rFonts w:ascii="Arial" w:hAnsi="Arial" w:cs="Arial"/>
          <w:color w:val="auto"/>
          <w:lang w:val="es-MX"/>
        </w:rPr>
        <w:t>Plan de Alcance</w:t>
      </w:r>
      <w:bookmarkEnd w:id="0"/>
    </w:p>
    <w:p w14:paraId="78EEAA72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6812E5C8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5E94F932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00E23C46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6094D759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7A1041F0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15FC35E7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0527FF75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1505272F" w14:textId="77777777" w:rsidR="00EF5F89" w:rsidRPr="00C53A81" w:rsidRDefault="00EF5F89" w:rsidP="00A17421">
      <w:pPr>
        <w:rPr>
          <w:rFonts w:ascii="Arial" w:hAnsi="Arial" w:cs="Arial"/>
          <w:lang w:val="es-MX"/>
        </w:rPr>
      </w:pPr>
    </w:p>
    <w:p w14:paraId="0DB88862" w14:textId="77777777" w:rsidR="00ED46DE" w:rsidRPr="00C53A81" w:rsidRDefault="00ED46DE" w:rsidP="00A17421">
      <w:pPr>
        <w:rPr>
          <w:rFonts w:ascii="Arial" w:hAnsi="Arial" w:cs="Arial"/>
          <w:lang w:val="es-MX"/>
        </w:rPr>
      </w:pPr>
    </w:p>
    <w:p w14:paraId="70C01F25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7F1F2E83" w14:textId="77777777" w:rsidR="00ED46DE" w:rsidRPr="00C53A81" w:rsidRDefault="00ED46DE" w:rsidP="00A1742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C53A8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C53A8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69CF849F" w:rsidR="00A17421" w:rsidRPr="00C53A81" w:rsidRDefault="002C1E34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44E40D75" w:rsidR="00A17421" w:rsidRPr="00C53A81" w:rsidRDefault="002C1E34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43BD564B" w:rsidR="00A17421" w:rsidRPr="00C53A81" w:rsidRDefault="00E64CE8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  <w:r w:rsidR="0034371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  <w:r w:rsidR="004B1133"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C53A81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C53A81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C53A81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C53A81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0B389A36" w14:textId="26093245" w:rsidR="00056F64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C53A81">
            <w:rPr>
              <w:rFonts w:ascii="Arial" w:hAnsi="Arial" w:cs="Arial"/>
            </w:rPr>
            <w:fldChar w:fldCharType="begin"/>
          </w:r>
          <w:r w:rsidRPr="00C53A81">
            <w:rPr>
              <w:rFonts w:ascii="Arial" w:hAnsi="Arial" w:cs="Arial"/>
            </w:rPr>
            <w:instrText xml:space="preserve"> TOC \o "1-3" \h \z \u </w:instrText>
          </w:r>
          <w:r w:rsidRPr="00C53A81">
            <w:rPr>
              <w:rFonts w:ascii="Arial" w:hAnsi="Arial" w:cs="Arial"/>
            </w:rPr>
            <w:fldChar w:fldCharType="separate"/>
          </w:r>
          <w:hyperlink w:anchor="_Toc176987416" w:history="1">
            <w:r w:rsidR="00056F64" w:rsidRPr="00B3230C">
              <w:rPr>
                <w:rStyle w:val="Hipervnculo"/>
                <w:rFonts w:ascii="Arial" w:hAnsi="Arial" w:cs="Arial"/>
                <w:noProof/>
                <w:lang w:val="es-MX"/>
              </w:rPr>
              <w:t>Plan de Alcance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_Toc176987416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1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1580B0CF" w14:textId="4EDABADB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17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Descripción detallada del alcance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_Toc176987417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4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346E1360" w14:textId="0144302F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5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No incluye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_Toc176987435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5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7DEA097C" w14:textId="562DA0F3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6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Hitos y entregables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_Toc176987436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6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167AE26B" w14:textId="6E3CDD39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7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Supuestos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_Toc176987437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6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034CECD4" w14:textId="12D57CDC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8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Restricciones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_Toc176987438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7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39263F35" w14:textId="149F2B6E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9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Matriz RACI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_Toc176987439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8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0B53A4F5" w14:textId="0976951E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40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EDT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_Toc176987440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8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22EC072C" w14:textId="049049AF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41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Aprobaciones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_Toc176987441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8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268719BF" w14:textId="53DBF75A" w:rsidR="00AE181B" w:rsidRDefault="00AE181B">
          <w:pPr>
            <w:rPr>
              <w:rFonts w:ascii="Arial" w:hAnsi="Arial" w:cs="Arial"/>
              <w:b/>
              <w:bCs/>
              <w:lang w:val="es-MX"/>
            </w:rPr>
          </w:pPr>
          <w:r w:rsidRPr="00C53A81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28BBF92F" w14:textId="77777777" w:rsidR="0085420D" w:rsidRPr="0085420D" w:rsidRDefault="0085420D" w:rsidP="0085420D">
      <w:pPr>
        <w:rPr>
          <w:rFonts w:ascii="Arial" w:hAnsi="Arial" w:cs="Arial"/>
        </w:rPr>
      </w:pPr>
    </w:p>
    <w:p w14:paraId="1580A647" w14:textId="4BA899C4" w:rsidR="001B1ADC" w:rsidRPr="00056F64" w:rsidRDefault="0085420D" w:rsidP="00056F64">
      <w:pPr>
        <w:tabs>
          <w:tab w:val="left" w:pos="499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5377" w:type="pct"/>
        <w:tblLook w:val="04A0" w:firstRow="1" w:lastRow="0" w:firstColumn="1" w:lastColumn="0" w:noHBand="0" w:noVBand="1"/>
      </w:tblPr>
      <w:tblGrid>
        <w:gridCol w:w="3010"/>
        <w:gridCol w:w="6484"/>
      </w:tblGrid>
      <w:tr w:rsidR="00056F64" w:rsidRPr="00C53A81" w14:paraId="371DD829" w14:textId="77777777" w:rsidTr="00056F64">
        <w:trPr>
          <w:trHeight w:val="439"/>
        </w:trPr>
        <w:tc>
          <w:tcPr>
            <w:tcW w:w="5000" w:type="pct"/>
            <w:gridSpan w:val="2"/>
          </w:tcPr>
          <w:p w14:paraId="0D48A63B" w14:textId="7334CCFA" w:rsidR="00056F64" w:rsidRPr="00C53A81" w:rsidRDefault="00056F64" w:rsidP="00056F64">
            <w:pPr>
              <w:pStyle w:val="Ttulo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1" w:name="_Toc176987417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Descripción detallada del alcance</w:t>
            </w:r>
            <w:bookmarkEnd w:id="1"/>
          </w:p>
        </w:tc>
      </w:tr>
      <w:tr w:rsidR="00FB14AA" w:rsidRPr="00C53A81" w14:paraId="597E339E" w14:textId="77777777" w:rsidTr="00056F64">
        <w:trPr>
          <w:trHeight w:val="439"/>
        </w:trPr>
        <w:tc>
          <w:tcPr>
            <w:tcW w:w="1585" w:type="pct"/>
          </w:tcPr>
          <w:p w14:paraId="527D03C9" w14:textId="5CF8ED9F" w:rsidR="00FB14AA" w:rsidRPr="00C53A81" w:rsidRDefault="00FB14AA" w:rsidP="00056F64">
            <w:pPr>
              <w:pStyle w:val="Ttulo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2" w:name="_Toc176904442"/>
            <w:bookmarkStart w:id="3" w:name="_Toc176905282"/>
            <w:bookmarkStart w:id="4" w:name="_Toc176987418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t>Alcance</w:t>
            </w:r>
            <w:bookmarkEnd w:id="2"/>
            <w:bookmarkEnd w:id="3"/>
            <w:bookmarkEnd w:id="4"/>
          </w:p>
        </w:tc>
        <w:tc>
          <w:tcPr>
            <w:tcW w:w="3415" w:type="pct"/>
          </w:tcPr>
          <w:p w14:paraId="25A22BFC" w14:textId="10F7ABF8" w:rsidR="00FB14AA" w:rsidRPr="00C53A81" w:rsidRDefault="00FB14AA" w:rsidP="00056F64">
            <w:pPr>
              <w:pStyle w:val="Ttulo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5" w:name="_Toc176904443"/>
            <w:bookmarkStart w:id="6" w:name="_Toc176905283"/>
            <w:bookmarkStart w:id="7" w:name="_Toc176987419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  <w:bookmarkEnd w:id="5"/>
            <w:bookmarkEnd w:id="6"/>
            <w:bookmarkEnd w:id="7"/>
          </w:p>
        </w:tc>
      </w:tr>
      <w:tr w:rsidR="00FB14AA" w:rsidRPr="00C53A81" w14:paraId="40A89385" w14:textId="77777777" w:rsidTr="00056F64">
        <w:trPr>
          <w:trHeight w:val="1412"/>
        </w:trPr>
        <w:tc>
          <w:tcPr>
            <w:tcW w:w="1585" w:type="pct"/>
          </w:tcPr>
          <w:p w14:paraId="1EB7153F" w14:textId="3A3C7C93" w:rsidR="00FB14AA" w:rsidRPr="00C53A81" w:rsidRDefault="00FB14AA" w:rsidP="00FB14AA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8" w:name="_Toc176899625"/>
            <w:bookmarkStart w:id="9" w:name="_Toc176904444"/>
            <w:bookmarkStart w:id="10" w:name="_Toc176905284"/>
            <w:bookmarkStart w:id="11" w:name="_Toc176987420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Diseño e Implementación de la Plataforma Web</w:t>
            </w:r>
            <w:bookmarkEnd w:id="8"/>
            <w:bookmarkEnd w:id="9"/>
            <w:bookmarkEnd w:id="10"/>
            <w:bookmarkEnd w:id="11"/>
          </w:p>
        </w:tc>
        <w:tc>
          <w:tcPr>
            <w:tcW w:w="3415" w:type="pct"/>
          </w:tcPr>
          <w:p w14:paraId="2F67EAD4" w14:textId="0CFDC8E6" w:rsidR="00FB14AA" w:rsidRPr="00C53A81" w:rsidRDefault="00FB14AA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12" w:name="_Toc176899626"/>
            <w:bookmarkStart w:id="13" w:name="_Toc176904445"/>
            <w:bookmarkStart w:id="14" w:name="_Toc176905285"/>
            <w:bookmarkStart w:id="15" w:name="_Toc176987421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Se diseñará e implementará una plataforma web personalizada para INTECIL SPA que cubra los procesos administrativos relacionados con la gestión de lotes de trabajo</w:t>
            </w:r>
            <w:r w:rsidR="004E3A91"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VISA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. El sistema estará alojado en el servidor NAS de la empresa, lo que garantizará un acceso seguro a través de la intranet.</w:t>
            </w:r>
            <w:bookmarkEnd w:id="12"/>
            <w:bookmarkEnd w:id="13"/>
            <w:bookmarkEnd w:id="14"/>
            <w:bookmarkEnd w:id="15"/>
          </w:p>
        </w:tc>
      </w:tr>
      <w:tr w:rsidR="00034DD0" w:rsidRPr="00C53A81" w14:paraId="37C1FECF" w14:textId="77777777" w:rsidTr="00056F64">
        <w:tc>
          <w:tcPr>
            <w:tcW w:w="1585" w:type="pct"/>
          </w:tcPr>
          <w:p w14:paraId="1E301A41" w14:textId="781174C3" w:rsidR="00034DD0" w:rsidRPr="00C53A81" w:rsidRDefault="00034DD0" w:rsidP="00034DD0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16" w:name="_Toc176899627"/>
            <w:bookmarkStart w:id="17" w:name="_Toc176904446"/>
            <w:bookmarkStart w:id="18" w:name="_Toc176905286"/>
            <w:bookmarkStart w:id="19" w:name="_Toc176987422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Desarrollo de Módulos Funcionales (5 Módulos)</w:t>
            </w:r>
            <w:bookmarkEnd w:id="16"/>
            <w:bookmarkEnd w:id="17"/>
            <w:bookmarkEnd w:id="18"/>
            <w:bookmarkEnd w:id="19"/>
          </w:p>
        </w:tc>
        <w:tc>
          <w:tcPr>
            <w:tcW w:w="3415" w:type="pct"/>
          </w:tcPr>
          <w:p w14:paraId="6B963BEB" w14:textId="599E1410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0" w:name="_Toc176899628"/>
            <w:bookmarkStart w:id="21" w:name="_Toc176904447"/>
            <w:bookmarkStart w:id="22" w:name="_Toc176905287"/>
            <w:bookmarkStart w:id="23" w:name="_Toc176987423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Login: Se desarrollará un sistema de autenticación para que los empleados de INTECIL SPA puedan acceder de manera segura y sencilla a través de la intranet</w:t>
            </w:r>
            <w:r w:rsidR="00DA02D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mediante el </w:t>
            </w:r>
            <w:r w:rsidR="009C4382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</w:t>
            </w:r>
            <w:r w:rsidR="00DA02D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Login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  <w:bookmarkEnd w:id="20"/>
            <w:bookmarkEnd w:id="21"/>
            <w:bookmarkEnd w:id="22"/>
            <w:bookmarkEnd w:id="23"/>
          </w:p>
          <w:p w14:paraId="46345DF4" w14:textId="488B23B8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4" w:name="_Toc176899629"/>
            <w:bookmarkStart w:id="25" w:name="_Toc176904448"/>
            <w:bookmarkStart w:id="26" w:name="_Toc176905288"/>
            <w:bookmarkStart w:id="27" w:name="_Toc176987424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CRUD (Create, Read, Update, Delete): Desarrollo de una funcionalidad completa para la creación, edición, actualización y eliminación de lotes de trabajo</w:t>
            </w:r>
            <w:bookmarkEnd w:id="24"/>
            <w:bookmarkEnd w:id="25"/>
            <w:bookmarkEnd w:id="26"/>
            <w:bookmarkEnd w:id="27"/>
          </w:p>
          <w:p w14:paraId="76AC2C82" w14:textId="77777777" w:rsidR="00034DD0" w:rsidRPr="00C53A81" w:rsidRDefault="00034DD0" w:rsidP="00034D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A55853" w14:textId="5D3A28E4" w:rsidR="00034DD0" w:rsidRPr="00C53A81" w:rsidRDefault="00034DD0" w:rsidP="00034DD0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Gestión de Usuarios – Registros: Se implementará un sistema de administración de usuarios con roles y permisos específicos, asegurando que solo los usuarios autorizados puedan acceder a ciertas funciones del sistema</w:t>
            </w:r>
          </w:p>
          <w:p w14:paraId="614CB0FE" w14:textId="45803EBC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8" w:name="_Toc176899630"/>
            <w:bookmarkStart w:id="29" w:name="_Toc176904449"/>
            <w:bookmarkStart w:id="30" w:name="_Toc176905289"/>
            <w:bookmarkStart w:id="31" w:name="_Toc176987425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Módulo de Métricas: Se desarrollará un módulo que muestre estadísticas claves relacionadas con los lotes de trabajo, </w:t>
            </w:r>
            <w:r w:rsidR="00003084">
              <w:rPr>
                <w:rFonts w:ascii="Arial" w:hAnsi="Arial" w:cs="Arial"/>
                <w:color w:val="000000" w:themeColor="text1"/>
                <w:sz w:val="22"/>
                <w:szCs w:val="22"/>
              </w:rPr>
              <w:t>específicamente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número de lotes gestionados</w:t>
            </w:r>
            <w:bookmarkEnd w:id="28"/>
            <w:r w:rsidR="0000308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en un periodo de tiempo.</w:t>
            </w:r>
            <w:bookmarkEnd w:id="29"/>
            <w:bookmarkEnd w:id="30"/>
            <w:bookmarkEnd w:id="31"/>
          </w:p>
          <w:p w14:paraId="6494B3C8" w14:textId="0B379E9A" w:rsidR="00034DD0" w:rsidRPr="00003084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32" w:name="_Toc176899631"/>
            <w:bookmarkStart w:id="33" w:name="_Toc176904450"/>
            <w:bookmarkStart w:id="34" w:name="_Toc176905290"/>
            <w:bookmarkStart w:id="35" w:name="_Toc176987426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Búsqueda: Incluirá una función avanzada para la búsqueda de lotes de trabajo mediante filtros (fecha, responsable, estado del lote, etc.) para facilitar el acceso a información.</w:t>
            </w:r>
            <w:bookmarkEnd w:id="32"/>
            <w:bookmarkEnd w:id="33"/>
            <w:bookmarkEnd w:id="34"/>
            <w:bookmarkEnd w:id="35"/>
          </w:p>
        </w:tc>
      </w:tr>
      <w:tr w:rsidR="00201DDB" w:rsidRPr="00C53A81" w14:paraId="605BEE24" w14:textId="77777777" w:rsidTr="00056F64">
        <w:tc>
          <w:tcPr>
            <w:tcW w:w="1585" w:type="pct"/>
          </w:tcPr>
          <w:p w14:paraId="28592E68" w14:textId="67CE69B8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36" w:name="_Toc176899632"/>
            <w:bookmarkStart w:id="37" w:name="_Toc176904451"/>
            <w:bookmarkStart w:id="38" w:name="_Toc176905291"/>
            <w:bookmarkStart w:id="39" w:name="_Toc176987427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Optimización y Liberación de Espacio de Almacenamiento</w:t>
            </w:r>
            <w:bookmarkEnd w:id="36"/>
            <w:bookmarkEnd w:id="37"/>
            <w:bookmarkEnd w:id="38"/>
            <w:bookmarkEnd w:id="39"/>
          </w:p>
        </w:tc>
        <w:tc>
          <w:tcPr>
            <w:tcW w:w="3415" w:type="pct"/>
          </w:tcPr>
          <w:p w14:paraId="0102B810" w14:textId="370895F3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0" w:name="_Toc176899633"/>
            <w:bookmarkStart w:id="41" w:name="_Toc176904452"/>
            <w:bookmarkStart w:id="42" w:name="_Toc176905292"/>
            <w:bookmarkStart w:id="43" w:name="_Toc176987428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Los archivos generados y gestionados en la plataforma se almacenarán de forma centralizada en el servidor NAS de INTECIL SPA</w:t>
            </w:r>
            <w:bookmarkEnd w:id="40"/>
            <w:bookmarkEnd w:id="41"/>
            <w:bookmarkEnd w:id="42"/>
            <w:bookmarkEnd w:id="43"/>
            <w:r w:rsidR="001E0D4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y </w:t>
            </w:r>
            <w:r w:rsidR="001E0D48" w:rsidRPr="001E0D48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 en el hosting</w:t>
            </w:r>
          </w:p>
        </w:tc>
      </w:tr>
      <w:tr w:rsidR="00201DDB" w:rsidRPr="00C53A81" w14:paraId="4A47AC1B" w14:textId="77777777" w:rsidTr="00056F64">
        <w:tc>
          <w:tcPr>
            <w:tcW w:w="1585" w:type="pct"/>
          </w:tcPr>
          <w:p w14:paraId="41CBC95C" w14:textId="0D790C1E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4" w:name="_Toc176899634"/>
            <w:bookmarkStart w:id="45" w:name="_Toc176904453"/>
            <w:bookmarkStart w:id="46" w:name="_Toc176905293"/>
            <w:bookmarkStart w:id="47" w:name="_Toc176987429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Integración con la Intranet de la Empresa</w:t>
            </w:r>
            <w:bookmarkEnd w:id="44"/>
            <w:bookmarkEnd w:id="45"/>
            <w:bookmarkEnd w:id="46"/>
            <w:bookmarkEnd w:id="47"/>
          </w:p>
        </w:tc>
        <w:tc>
          <w:tcPr>
            <w:tcW w:w="3415" w:type="pct"/>
          </w:tcPr>
          <w:p w14:paraId="7BCEDED6" w14:textId="15B0E413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8" w:name="_Toc176899635"/>
            <w:bookmarkStart w:id="49" w:name="_Toc176904454"/>
            <w:bookmarkStart w:id="50" w:name="_Toc176905294"/>
            <w:bookmarkStart w:id="51" w:name="_Toc176987430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La plataforma se integrará completamente con la intranet y el servidor NAS de la empresa, garantizando que solo usuarios internos autorizados puedan acceder al sistema. Se asegurará la seguridad de las comunicaciones y la integridad de los datos mediante protocolos de seguridad como SSL y mecanismos de autenticación basada en roles.</w:t>
            </w:r>
            <w:bookmarkEnd w:id="48"/>
            <w:bookmarkEnd w:id="49"/>
            <w:bookmarkEnd w:id="50"/>
            <w:bookmarkEnd w:id="51"/>
          </w:p>
        </w:tc>
      </w:tr>
      <w:tr w:rsidR="00201DDB" w:rsidRPr="00C53A81" w14:paraId="54D5201A" w14:textId="77777777" w:rsidTr="00056F64">
        <w:tc>
          <w:tcPr>
            <w:tcW w:w="1585" w:type="pct"/>
          </w:tcPr>
          <w:p w14:paraId="425D4489" w14:textId="04FB1B96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52" w:name="_Toc176899636"/>
            <w:bookmarkStart w:id="53" w:name="_Toc176904455"/>
            <w:bookmarkStart w:id="54" w:name="_Toc176905295"/>
            <w:bookmarkStart w:id="55" w:name="_Toc176987431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Capacitación a los Usuarios</w:t>
            </w:r>
            <w:bookmarkEnd w:id="52"/>
            <w:bookmarkEnd w:id="53"/>
            <w:bookmarkEnd w:id="54"/>
            <w:bookmarkEnd w:id="55"/>
          </w:p>
        </w:tc>
        <w:tc>
          <w:tcPr>
            <w:tcW w:w="3415" w:type="pct"/>
          </w:tcPr>
          <w:p w14:paraId="1B7AE5F8" w14:textId="06D7BB55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56" w:name="_Toc176899637"/>
            <w:bookmarkStart w:id="57" w:name="_Toc176904456"/>
            <w:bookmarkStart w:id="58" w:name="_Toc176905296"/>
            <w:bookmarkStart w:id="59" w:name="_Toc176987432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 proporcionará una explicación guiada sobre </w:t>
            </w:r>
            <w:r w:rsidR="00003084"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cómo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funciona el sistema, para garantizar el uso de la plataforma de forma efectiva</w:t>
            </w:r>
            <w:bookmarkEnd w:id="56"/>
            <w:bookmarkEnd w:id="57"/>
            <w:bookmarkEnd w:id="58"/>
            <w:bookmarkEnd w:id="59"/>
          </w:p>
        </w:tc>
      </w:tr>
      <w:tr w:rsidR="00201DDB" w:rsidRPr="00C53A81" w14:paraId="2597778F" w14:textId="77777777" w:rsidTr="00056F64">
        <w:tc>
          <w:tcPr>
            <w:tcW w:w="1585" w:type="pct"/>
          </w:tcPr>
          <w:p w14:paraId="596C62C7" w14:textId="4C799B38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60" w:name="_Toc176899638"/>
            <w:bookmarkStart w:id="61" w:name="_Toc176904457"/>
            <w:bookmarkStart w:id="62" w:name="_Toc176905297"/>
            <w:bookmarkStart w:id="63" w:name="_Toc176987433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Mantenimiento de la Plataforma</w:t>
            </w:r>
            <w:bookmarkEnd w:id="60"/>
            <w:bookmarkEnd w:id="61"/>
            <w:bookmarkEnd w:id="62"/>
            <w:bookmarkEnd w:id="63"/>
          </w:p>
        </w:tc>
        <w:tc>
          <w:tcPr>
            <w:tcW w:w="3415" w:type="pct"/>
          </w:tcPr>
          <w:p w14:paraId="282B70EA" w14:textId="10A2DBA9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64" w:name="_Toc176899639"/>
            <w:bookmarkStart w:id="65" w:name="_Toc176904458"/>
            <w:bookmarkStart w:id="66" w:name="_Toc176905298"/>
            <w:bookmarkStart w:id="67" w:name="_Toc176987434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Posteriormente realizado el despliegue de la plataforma se considera la mantención que incluye solución de problemas, mejoras de rendimiento y optimizaciones.</w:t>
            </w:r>
            <w:bookmarkEnd w:id="64"/>
            <w:bookmarkEnd w:id="65"/>
            <w:bookmarkEnd w:id="66"/>
            <w:bookmarkEnd w:id="67"/>
          </w:p>
        </w:tc>
      </w:tr>
    </w:tbl>
    <w:p w14:paraId="63CC183C" w14:textId="2993CAC2" w:rsidR="00495ED1" w:rsidRPr="00F3798B" w:rsidRDefault="00237FE3" w:rsidP="00F3798B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68" w:name="_Toc176987435"/>
      <w:r>
        <w:rPr>
          <w:rFonts w:ascii="Arial" w:hAnsi="Arial" w:cs="Arial"/>
          <w:color w:val="000000" w:themeColor="text1"/>
          <w:sz w:val="24"/>
          <w:szCs w:val="24"/>
        </w:rPr>
        <w:t>No inc</w:t>
      </w:r>
      <w:r w:rsidR="00495ED1">
        <w:rPr>
          <w:rFonts w:ascii="Arial" w:hAnsi="Arial" w:cs="Arial"/>
          <w:color w:val="000000" w:themeColor="text1"/>
          <w:sz w:val="24"/>
          <w:szCs w:val="24"/>
        </w:rPr>
        <w:t>luye</w:t>
      </w:r>
      <w:bookmarkEnd w:id="6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95ED1" w14:paraId="1E719E3C" w14:textId="77777777" w:rsidTr="00495ED1">
        <w:tc>
          <w:tcPr>
            <w:tcW w:w="4414" w:type="dxa"/>
          </w:tcPr>
          <w:p w14:paraId="33CF495E" w14:textId="315CEDEF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 xml:space="preserve">Gestión de certificados </w:t>
            </w:r>
          </w:p>
        </w:tc>
        <w:tc>
          <w:tcPr>
            <w:tcW w:w="4414" w:type="dxa"/>
          </w:tcPr>
          <w:p w14:paraId="323E633B" w14:textId="5520C769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La plataforma no entregará información asociada a los certificados asociados a los lotes emitidos.</w:t>
            </w:r>
          </w:p>
        </w:tc>
      </w:tr>
      <w:tr w:rsidR="00495ED1" w14:paraId="799C39CB" w14:textId="77777777" w:rsidTr="00495ED1">
        <w:tc>
          <w:tcPr>
            <w:tcW w:w="4414" w:type="dxa"/>
          </w:tcPr>
          <w:p w14:paraId="07D0286F" w14:textId="4FBD4C4F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Gestión de números de Informe</w:t>
            </w:r>
          </w:p>
        </w:tc>
        <w:tc>
          <w:tcPr>
            <w:tcW w:w="4414" w:type="dxa"/>
          </w:tcPr>
          <w:p w14:paraId="57ABEC7C" w14:textId="63D6462D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No será posible generar o emitir número(s) de informe, esta funcionalidad debe ser agregada mediante la gestión de un proyecto nuevo</w:t>
            </w:r>
          </w:p>
        </w:tc>
      </w:tr>
      <w:tr w:rsidR="00495ED1" w14:paraId="1F1D03E9" w14:textId="77777777" w:rsidTr="00495ED1">
        <w:tc>
          <w:tcPr>
            <w:tcW w:w="4414" w:type="dxa"/>
          </w:tcPr>
          <w:p w14:paraId="74BD197F" w14:textId="5D129F86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Gestión de números de Registro</w:t>
            </w:r>
          </w:p>
        </w:tc>
        <w:tc>
          <w:tcPr>
            <w:tcW w:w="4414" w:type="dxa"/>
          </w:tcPr>
          <w:p w14:paraId="15880B0F" w14:textId="494E8102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No será posible generar o emitir número(s) de registro, esta funcionalidad debe ser agregada mediante la gestión de un proyecto nuevo</w:t>
            </w:r>
          </w:p>
        </w:tc>
      </w:tr>
      <w:tr w:rsidR="00495ED1" w14:paraId="68C6B2F5" w14:textId="77777777" w:rsidTr="00495ED1">
        <w:tc>
          <w:tcPr>
            <w:tcW w:w="4414" w:type="dxa"/>
          </w:tcPr>
          <w:p w14:paraId="28A14DE5" w14:textId="22232837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Integración con sistemas externos o APIs de Terceros</w:t>
            </w:r>
          </w:p>
        </w:tc>
        <w:tc>
          <w:tcPr>
            <w:tcW w:w="4414" w:type="dxa"/>
          </w:tcPr>
          <w:p w14:paraId="4F3614BF" w14:textId="6AB9BB08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 xml:space="preserve">No existe integración con </w:t>
            </w:r>
            <w:r w:rsidR="006D428F" w:rsidRPr="00343714">
              <w:rPr>
                <w:rFonts w:ascii="Arial" w:hAnsi="Arial" w:cs="Arial"/>
                <w:sz w:val="22"/>
                <w:szCs w:val="22"/>
              </w:rPr>
              <w:t>APIs</w:t>
            </w:r>
            <w:r w:rsidRPr="00343714">
              <w:rPr>
                <w:rFonts w:ascii="Arial" w:hAnsi="Arial" w:cs="Arial"/>
                <w:sz w:val="22"/>
                <w:szCs w:val="22"/>
              </w:rPr>
              <w:t xml:space="preserve"> o plataformas externas tales como paginas asociadas a la SEC o similares</w:t>
            </w:r>
          </w:p>
        </w:tc>
      </w:tr>
      <w:tr w:rsidR="00495ED1" w14:paraId="6901ED84" w14:textId="77777777" w:rsidTr="00495ED1">
        <w:tc>
          <w:tcPr>
            <w:tcW w:w="4414" w:type="dxa"/>
          </w:tcPr>
          <w:p w14:paraId="10DB51F5" w14:textId="6A34BD3E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Desarrollo de aplicación móvil</w:t>
            </w:r>
          </w:p>
        </w:tc>
        <w:tc>
          <w:tcPr>
            <w:tcW w:w="4414" w:type="dxa"/>
          </w:tcPr>
          <w:p w14:paraId="48E3DF7F" w14:textId="2F282FB2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No se considera el desarrollo de una app móvil</w:t>
            </w:r>
            <w:r w:rsidR="001E0D48">
              <w:rPr>
                <w:rFonts w:ascii="Arial" w:hAnsi="Arial" w:cs="Arial"/>
                <w:sz w:val="22"/>
                <w:szCs w:val="22"/>
              </w:rPr>
              <w:t xml:space="preserve"> que permita visualizar los módulos estipulados</w:t>
            </w:r>
          </w:p>
        </w:tc>
      </w:tr>
      <w:tr w:rsidR="00495ED1" w14:paraId="60B590B9" w14:textId="77777777" w:rsidTr="00495ED1">
        <w:tc>
          <w:tcPr>
            <w:tcW w:w="4414" w:type="dxa"/>
          </w:tcPr>
          <w:p w14:paraId="299A88C1" w14:textId="544C7D06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Migración de datos históricos</w:t>
            </w:r>
          </w:p>
        </w:tc>
        <w:tc>
          <w:tcPr>
            <w:tcW w:w="4414" w:type="dxa"/>
          </w:tcPr>
          <w:p w14:paraId="287D0F02" w14:textId="6605766D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Los lotes de trabajo generados a lo largo del tiempo no serán traspasados a esta nueva plataforma</w:t>
            </w:r>
          </w:p>
        </w:tc>
      </w:tr>
      <w:tr w:rsidR="00495ED1" w14:paraId="14ACC55C" w14:textId="77777777" w:rsidTr="00495ED1">
        <w:tc>
          <w:tcPr>
            <w:tcW w:w="4414" w:type="dxa"/>
          </w:tcPr>
          <w:p w14:paraId="73088B81" w14:textId="220DCD16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No incluye integración con otras aplicaciones internas de Synology</w:t>
            </w:r>
          </w:p>
        </w:tc>
        <w:tc>
          <w:tcPr>
            <w:tcW w:w="4414" w:type="dxa"/>
          </w:tcPr>
          <w:p w14:paraId="29DCBF89" w14:textId="65FF835C" w:rsidR="00495ED1" w:rsidRPr="00343714" w:rsidRDefault="006D428F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La plataforma no esta diseñada para integrar otras aplicaciones de Synology tales como Synology Calendar, Chat, entre otros.</w:t>
            </w:r>
          </w:p>
        </w:tc>
      </w:tr>
    </w:tbl>
    <w:p w14:paraId="23B2C03A" w14:textId="15F448C5" w:rsidR="00502375" w:rsidRPr="00C53A81" w:rsidRDefault="00FB14AA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69" w:name="_Toc176987436"/>
      <w:r w:rsidRPr="00C53A81">
        <w:rPr>
          <w:rFonts w:ascii="Arial" w:hAnsi="Arial" w:cs="Arial"/>
          <w:color w:val="000000" w:themeColor="text1"/>
          <w:sz w:val="24"/>
          <w:szCs w:val="24"/>
        </w:rPr>
        <w:lastRenderedPageBreak/>
        <w:t>Hitos y entregables</w:t>
      </w:r>
      <w:bookmarkEnd w:id="69"/>
    </w:p>
    <w:tbl>
      <w:tblPr>
        <w:tblStyle w:val="Tablaconcuadrcula"/>
        <w:tblW w:w="9306" w:type="dxa"/>
        <w:tblLook w:val="04A0" w:firstRow="1" w:lastRow="0" w:firstColumn="1" w:lastColumn="0" w:noHBand="0" w:noVBand="1"/>
      </w:tblPr>
      <w:tblGrid>
        <w:gridCol w:w="3082"/>
        <w:gridCol w:w="3082"/>
        <w:gridCol w:w="3142"/>
      </w:tblGrid>
      <w:tr w:rsidR="0077553F" w:rsidRPr="00C53A81" w14:paraId="4FAF131E" w14:textId="77777777" w:rsidTr="0077553F">
        <w:tc>
          <w:tcPr>
            <w:tcW w:w="3082" w:type="dxa"/>
          </w:tcPr>
          <w:p w14:paraId="6AED054A" w14:textId="3A4BBF3D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Hito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3163296F" w14:textId="062C4202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Entregable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43946F0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</w:tr>
      <w:tr w:rsidR="0077553F" w:rsidRPr="00C53A81" w14:paraId="5C30AF73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8"/>
            </w:tblGrid>
            <w:tr w:rsidR="0077553F" w:rsidRPr="00343714" w14:paraId="678D966E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45C82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Inicio del Proyecto</w:t>
                  </w:r>
                </w:p>
              </w:tc>
            </w:tr>
          </w:tbl>
          <w:p w14:paraId="3DD0E46F" w14:textId="77777777" w:rsidR="0077553F" w:rsidRPr="00343714" w:rsidRDefault="0077553F" w:rsidP="0077553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343714" w14:paraId="332C058F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85470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301E9BAC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0A7D4A75" w14:textId="21F0DB6D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Acta de Constitución del Proyecto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039E14D8" w14:textId="4B5AC562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Documento que inicia de manera formal el proyecto, incluyendo objetivos y equipo asignado.</w:t>
            </w:r>
          </w:p>
        </w:tc>
      </w:tr>
      <w:tr w:rsidR="0077553F" w:rsidRPr="00C53A81" w14:paraId="1756DAB6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77553F" w:rsidRPr="00343714" w14:paraId="74A377FA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E139E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Recolección de Requerimientos</w:t>
                  </w:r>
                </w:p>
              </w:tc>
            </w:tr>
          </w:tbl>
          <w:p w14:paraId="3E3E9B05" w14:textId="77777777" w:rsidR="0077553F" w:rsidRPr="00343714" w:rsidRDefault="0077553F" w:rsidP="0077553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343714" w14:paraId="3085C527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CDE98F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3680D58B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52C7C3E4" w14:textId="2146DC5E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Documento de Requerimientos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54B2D7FF" w14:textId="4632C373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Define las necesidades del cliente y lo que debe cumplir la plataforma en detalle.</w:t>
            </w:r>
          </w:p>
        </w:tc>
      </w:tr>
      <w:tr w:rsidR="001252BB" w:rsidRPr="00C53A81" w14:paraId="660949E7" w14:textId="77777777" w:rsidTr="0077553F">
        <w:tc>
          <w:tcPr>
            <w:tcW w:w="3082" w:type="dxa"/>
          </w:tcPr>
          <w:p w14:paraId="2677A087" w14:textId="75F3E302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Planificación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565624EC" w14:textId="2858C9B3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EDT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6"/>
            </w:tblGrid>
            <w:tr w:rsidR="001252BB" w:rsidRPr="00343714" w14:paraId="0BECF253" w14:textId="77777777" w:rsidTr="008513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3EA92C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252BB">
                    <w:rPr>
                      <w:rFonts w:ascii="Arial" w:hAnsi="Arial" w:cs="Arial"/>
                      <w:sz w:val="22"/>
                      <w:szCs w:val="22"/>
                    </w:rPr>
                    <w:t>Descomposición de entregables en tareas más pequeñas para una gestión efectiva.</w:t>
                  </w:r>
                </w:p>
              </w:tc>
            </w:tr>
          </w:tbl>
          <w:p w14:paraId="1C191F04" w14:textId="77777777" w:rsidR="001252BB" w:rsidRPr="00343714" w:rsidRDefault="001252BB" w:rsidP="001252BB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52BB" w:rsidRPr="00343714" w14:paraId="247F13EB" w14:textId="77777777" w:rsidTr="008513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C78D29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41D36653" w14:textId="7777777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52BB" w:rsidRPr="00C53A81" w14:paraId="7D907CA2" w14:textId="77777777" w:rsidTr="0077553F">
        <w:tc>
          <w:tcPr>
            <w:tcW w:w="3082" w:type="dxa"/>
          </w:tcPr>
          <w:p w14:paraId="4A867CEC" w14:textId="16E93779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Planificación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7A1144FE" w14:textId="078D15B5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Cronograma (Carta Gantt)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6"/>
            </w:tblGrid>
            <w:tr w:rsidR="001252BB" w:rsidRPr="00343714" w14:paraId="6025383A" w14:textId="77777777" w:rsidTr="007721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0AC0E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Planificación de tiempos y actividades del proyecto.</w:t>
                  </w:r>
                </w:p>
              </w:tc>
            </w:tr>
          </w:tbl>
          <w:p w14:paraId="0EEAEA2E" w14:textId="77777777" w:rsidR="001252BB" w:rsidRPr="00343714" w:rsidRDefault="001252BB" w:rsidP="001252BB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52BB" w:rsidRPr="00343714" w14:paraId="174BDA36" w14:textId="77777777" w:rsidTr="007721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26A9C5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53FF15D2" w14:textId="7777777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52BB" w:rsidRPr="00C53A81" w14:paraId="5BE3C94A" w14:textId="77777777" w:rsidTr="0077553F">
        <w:tc>
          <w:tcPr>
            <w:tcW w:w="3082" w:type="dxa"/>
          </w:tcPr>
          <w:p w14:paraId="46486B8A" w14:textId="1EB424B3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Modelado de Base de Datos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6352761B" w14:textId="1E894972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Diagrama Entidad-Relación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6D89D601" w14:textId="3C9BDEE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Pr="00E5607B">
              <w:rPr>
                <w:rFonts w:ascii="Arial" w:hAnsi="Arial" w:cs="Arial"/>
                <w:sz w:val="22"/>
                <w:szCs w:val="22"/>
              </w:rPr>
              <w:t>erramienta visual utilizada para representar la estructura lógica de un sistema.</w:t>
            </w:r>
          </w:p>
        </w:tc>
      </w:tr>
      <w:tr w:rsidR="001252BB" w:rsidRPr="00C53A81" w14:paraId="0A8FA1F9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1252BB" w:rsidRPr="00343714" w14:paraId="4FD997A7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8DAAB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Pruebas Unitarias e Integración</w:t>
                  </w:r>
                </w:p>
              </w:tc>
            </w:tr>
          </w:tbl>
          <w:p w14:paraId="699BD116" w14:textId="77777777" w:rsidR="001252BB" w:rsidRPr="00343714" w:rsidRDefault="001252BB" w:rsidP="001252BB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52BB" w:rsidRPr="00343714" w14:paraId="39BEE075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116A8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5D7263EC" w14:textId="7777777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37130697" w14:textId="62A134C5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Plan de Pruebas</w:t>
            </w:r>
            <w:r w:rsidRPr="00343714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6FF0A253" w14:textId="7777777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Estrategia de validación del funcionamiento del sistema.</w:t>
            </w:r>
          </w:p>
        </w:tc>
      </w:tr>
      <w:tr w:rsidR="001252BB" w:rsidRPr="00C53A81" w14:paraId="62CCFAC8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6"/>
            </w:tblGrid>
            <w:tr w:rsidR="001252BB" w:rsidRPr="00343714" w14:paraId="571BFC1A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5AF89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Validación de Pruebas</w:t>
                  </w:r>
                </w:p>
              </w:tc>
            </w:tr>
          </w:tbl>
          <w:p w14:paraId="67A34969" w14:textId="77777777" w:rsidR="001252BB" w:rsidRPr="00343714" w:rsidRDefault="001252BB" w:rsidP="001252BB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52BB" w:rsidRPr="00343714" w14:paraId="173636ED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4246C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5646C614" w14:textId="7777777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4345825B" w14:textId="08704654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Resultados de Pruebas</w:t>
            </w:r>
            <w:r w:rsidRPr="00343714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5CA6C00A" w14:textId="7777777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Reporte de los resultados obtenidos en las pruebas de la plataforma.</w:t>
            </w:r>
          </w:p>
        </w:tc>
      </w:tr>
      <w:tr w:rsidR="001252BB" w:rsidRPr="00C53A81" w14:paraId="39534F28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1252BB" w:rsidRPr="00343714" w14:paraId="2FDA1C12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E5E6F6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Despliegue y Entrega del Sistema</w:t>
                  </w:r>
                </w:p>
              </w:tc>
            </w:tr>
          </w:tbl>
          <w:p w14:paraId="5D73BAED" w14:textId="77777777" w:rsidR="001252BB" w:rsidRPr="00343714" w:rsidRDefault="001252BB" w:rsidP="001252BB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52BB" w:rsidRPr="00343714" w14:paraId="3F88FE51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6EE83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01694CC1" w14:textId="7777777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6CBDAE9C" w14:textId="7429C4A1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Producto Final (Plataforma Web)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3E07C5A" w14:textId="7777777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Plataforma funcional que será entregada al cliente para su uso en producción.</w:t>
            </w:r>
          </w:p>
        </w:tc>
      </w:tr>
    </w:tbl>
    <w:p w14:paraId="4C37F956" w14:textId="77777777" w:rsidR="00F25629" w:rsidRPr="00C53A81" w:rsidRDefault="00F25629" w:rsidP="002755CD">
      <w:pPr>
        <w:rPr>
          <w:rFonts w:ascii="Arial" w:eastAsiaTheme="majorEastAsia" w:hAnsi="Arial" w:cs="Arial"/>
          <w:color w:val="000000" w:themeColor="text1"/>
        </w:rPr>
      </w:pPr>
    </w:p>
    <w:p w14:paraId="7992042C" w14:textId="3F809913" w:rsidR="00502375" w:rsidRPr="00C53A81" w:rsidRDefault="00502375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0" w:name="_Toc176987437"/>
      <w:r w:rsidRPr="00C53A81">
        <w:rPr>
          <w:rFonts w:ascii="Arial" w:hAnsi="Arial" w:cs="Arial"/>
          <w:color w:val="000000" w:themeColor="text1"/>
          <w:sz w:val="24"/>
          <w:szCs w:val="24"/>
        </w:rPr>
        <w:t>Supuestos</w:t>
      </w:r>
      <w:bookmarkEnd w:id="70"/>
    </w:p>
    <w:p w14:paraId="4B688CF5" w14:textId="18DA5A84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Apoyo de la empresa</w:t>
      </w:r>
    </w:p>
    <w:p w14:paraId="60393EA6" w14:textId="55EFAE20" w:rsidR="004E3A91" w:rsidRPr="00343714" w:rsidRDefault="004E3A91" w:rsidP="0048294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Se cuenta con el apoyo de la gerencia y los stakeholders para implementar los cambios necesarios en los procesos administrativos y se cuenta con 2 stakeholders principales encargados de validar los requisitos funcionales y no funcionales</w:t>
      </w:r>
    </w:p>
    <w:p w14:paraId="3120A417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093B55B1" w14:textId="44532BDC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Acceso a la infraestructura tecnológica</w:t>
      </w:r>
    </w:p>
    <w:p w14:paraId="62F9B513" w14:textId="6F2C1555" w:rsidR="004E3A91" w:rsidRPr="00343714" w:rsidRDefault="004E3A91" w:rsidP="0048294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Se asume que el equipo tendrá acceso total a la infraestructura tecnológica de INTECIL SPA, incluyendo la intranet y el servidor NAS.</w:t>
      </w:r>
    </w:p>
    <w:p w14:paraId="437D4C89" w14:textId="4F6D7DE1" w:rsidR="00502375" w:rsidRPr="00C53A81" w:rsidRDefault="00502375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1" w:name="_Toc176987438"/>
      <w:r w:rsidRPr="00C53A81">
        <w:rPr>
          <w:rFonts w:ascii="Arial" w:hAnsi="Arial" w:cs="Arial"/>
          <w:color w:val="000000" w:themeColor="text1"/>
          <w:sz w:val="24"/>
          <w:szCs w:val="24"/>
        </w:rPr>
        <w:lastRenderedPageBreak/>
        <w:t>Restricciones</w:t>
      </w:r>
      <w:bookmarkEnd w:id="71"/>
    </w:p>
    <w:p w14:paraId="6EB4A7B7" w14:textId="23930C4C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Plazo limitado</w:t>
      </w:r>
    </w:p>
    <w:p w14:paraId="20308BDB" w14:textId="6A08CD30" w:rsidR="004E3A91" w:rsidRPr="00343714" w:rsidRDefault="004E3A91" w:rsidP="0048294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El proyecto debe completarse dentro del semestre académico, lo que impone un límite estricto en el tiempo de desarrollo y pruebas.</w:t>
      </w:r>
    </w:p>
    <w:p w14:paraId="0F5308A9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7B431CCE" w14:textId="7F7FE8F3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Infraestructura existente</w:t>
      </w:r>
    </w:p>
    <w:p w14:paraId="46E5FFA5" w14:textId="6B265DE7" w:rsidR="0048294F" w:rsidRPr="00343714" w:rsidRDefault="004E3A91" w:rsidP="00C53A81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La plataforma web debe implementarse en la infraestructura actual de INTECIL SPA, lo que incluye el servidor NAS y la intranet, sin realizar grandes cambios en la infraestructura.</w:t>
      </w:r>
    </w:p>
    <w:p w14:paraId="6260902E" w14:textId="77777777" w:rsidR="00C53A81" w:rsidRPr="00C53A81" w:rsidRDefault="00C53A81" w:rsidP="00C53A81">
      <w:pPr>
        <w:pStyle w:val="Prrafodelista"/>
        <w:rPr>
          <w:rFonts w:ascii="Arial" w:hAnsi="Arial" w:cs="Arial"/>
        </w:rPr>
      </w:pPr>
    </w:p>
    <w:p w14:paraId="007293FC" w14:textId="008D47CB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Uso exclusivo interno</w:t>
      </w:r>
    </w:p>
    <w:p w14:paraId="15CE1D17" w14:textId="65347113" w:rsidR="0048294F" w:rsidRPr="00343714" w:rsidRDefault="004E3A91" w:rsidP="006D428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La plataforma estará disponible exclusivamente para uso interno de la empresa y no se contemplan accesos desde fuera de la intranet en esta fase del proyecto.</w:t>
      </w:r>
    </w:p>
    <w:p w14:paraId="4138E9D1" w14:textId="77777777" w:rsidR="006D428F" w:rsidRPr="006D428F" w:rsidRDefault="006D428F" w:rsidP="006D428F">
      <w:pPr>
        <w:pStyle w:val="Prrafodelista"/>
        <w:rPr>
          <w:rFonts w:ascii="Arial" w:hAnsi="Arial" w:cs="Arial"/>
        </w:rPr>
      </w:pPr>
    </w:p>
    <w:p w14:paraId="0E077754" w14:textId="1F3EB700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Limitación de módulos</w:t>
      </w:r>
    </w:p>
    <w:p w14:paraId="4F799ADF" w14:textId="11C80050" w:rsidR="004E3A91" w:rsidRPr="00343714" w:rsidRDefault="004E3A91" w:rsidP="0048294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Solo se desarrollarán los módulos definidos en el alcance (métricas, búsqueda, gestión de usuarios, CRUD, login)</w:t>
      </w:r>
    </w:p>
    <w:p w14:paraId="33052932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6B404660" w14:textId="680A33DC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Capacidad de almacenamiento</w:t>
      </w:r>
    </w:p>
    <w:p w14:paraId="40E8D7B4" w14:textId="63786E8D" w:rsidR="0048294F" w:rsidRPr="00343714" w:rsidRDefault="004E3A91" w:rsidP="00343714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El almacenamiento disponible en el servidor NAS debe ser suficiente para alojar la plataforma y los lotes de trabajo sin comprometer otros servicios existentes.</w:t>
      </w:r>
    </w:p>
    <w:p w14:paraId="1798B70A" w14:textId="77777777" w:rsidR="00343714" w:rsidRPr="00343714" w:rsidRDefault="00343714" w:rsidP="00343714">
      <w:pPr>
        <w:pStyle w:val="Prrafodelista"/>
        <w:rPr>
          <w:rFonts w:ascii="Arial" w:hAnsi="Arial" w:cs="Arial"/>
        </w:rPr>
      </w:pPr>
    </w:p>
    <w:p w14:paraId="1018B900" w14:textId="7402030B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Recursos tecnológicos limitados</w:t>
      </w:r>
    </w:p>
    <w:p w14:paraId="453A2E1C" w14:textId="15AA3A77" w:rsidR="00564178" w:rsidRPr="00343714" w:rsidRDefault="004E3A91" w:rsidP="00343714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Se limita el uso de tecnologías adicionales o recursos en la nube, ya que todo debe funcionar dentro de la infraestructura de la empresa.</w:t>
      </w:r>
    </w:p>
    <w:p w14:paraId="64E8233B" w14:textId="139D974C" w:rsidR="00E135AD" w:rsidRPr="00C53A81" w:rsidRDefault="00E135AD" w:rsidP="00E135A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2" w:name="_Toc176987439"/>
      <w:r>
        <w:rPr>
          <w:rFonts w:ascii="Arial" w:hAnsi="Arial" w:cs="Arial"/>
          <w:color w:val="000000" w:themeColor="text1"/>
          <w:sz w:val="24"/>
          <w:szCs w:val="24"/>
        </w:rPr>
        <w:t>Matriz RACI</w:t>
      </w:r>
      <w:bookmarkEnd w:id="72"/>
    </w:p>
    <w:p w14:paraId="3A3EEE50" w14:textId="27E961F6" w:rsidR="007223FC" w:rsidRPr="00343714" w:rsidRDefault="006D735F" w:rsidP="002755CD">
      <w:pPr>
        <w:rPr>
          <w:rFonts w:ascii="Arial" w:eastAsiaTheme="majorEastAsia" w:hAnsi="Arial" w:cs="Arial"/>
          <w:color w:val="000000" w:themeColor="text1"/>
          <w:sz w:val="22"/>
          <w:szCs w:val="22"/>
        </w:rPr>
      </w:pPr>
      <w:r w:rsidRPr="00343714">
        <w:rPr>
          <w:rFonts w:ascii="Arial" w:eastAsiaTheme="majorEastAsia" w:hAnsi="Arial" w:cs="Arial"/>
          <w:color w:val="000000" w:themeColor="text1"/>
          <w:sz w:val="22"/>
          <w:szCs w:val="22"/>
        </w:rPr>
        <w:t>Anexo Matriz RACI</w:t>
      </w:r>
    </w:p>
    <w:p w14:paraId="6EA41142" w14:textId="7DA8BA38" w:rsidR="00116106" w:rsidRPr="00C53A81" w:rsidRDefault="00116106" w:rsidP="0011610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3" w:name="_Toc176987440"/>
      <w:r>
        <w:rPr>
          <w:rFonts w:ascii="Arial" w:hAnsi="Arial" w:cs="Arial"/>
          <w:color w:val="000000" w:themeColor="text1"/>
          <w:sz w:val="24"/>
          <w:szCs w:val="24"/>
        </w:rPr>
        <w:t>EDT</w:t>
      </w:r>
      <w:bookmarkEnd w:id="73"/>
    </w:p>
    <w:p w14:paraId="58C00600" w14:textId="101F23B9" w:rsidR="00343714" w:rsidRPr="00343714" w:rsidRDefault="006D735F" w:rsidP="002755CD">
      <w:pPr>
        <w:rPr>
          <w:rFonts w:ascii="Arial" w:eastAsiaTheme="majorEastAsia" w:hAnsi="Arial" w:cs="Arial"/>
          <w:color w:val="000000" w:themeColor="text1"/>
          <w:sz w:val="22"/>
          <w:szCs w:val="22"/>
        </w:rPr>
      </w:pPr>
      <w:r w:rsidRPr="00343714">
        <w:rPr>
          <w:rFonts w:ascii="Arial" w:eastAsiaTheme="majorEastAsia" w:hAnsi="Arial" w:cs="Arial"/>
          <w:color w:val="000000" w:themeColor="text1"/>
          <w:sz w:val="22"/>
          <w:szCs w:val="22"/>
        </w:rPr>
        <w:t>Anexo EDT</w:t>
      </w:r>
    </w:p>
    <w:p w14:paraId="1260B943" w14:textId="77777777" w:rsidR="007223FC" w:rsidRPr="007D2283" w:rsidRDefault="007223FC" w:rsidP="007223FC">
      <w:pPr>
        <w:pStyle w:val="Ttulo1"/>
        <w:rPr>
          <w:rFonts w:ascii="Arial" w:hAnsi="Arial" w:cs="Arial"/>
          <w:color w:val="000000" w:themeColor="text1"/>
          <w:sz w:val="24"/>
          <w:szCs w:val="18"/>
        </w:rPr>
      </w:pPr>
      <w:bookmarkStart w:id="74" w:name="_Toc176902697"/>
      <w:bookmarkStart w:id="75" w:name="_Toc176987441"/>
      <w:r w:rsidRPr="007D2283">
        <w:rPr>
          <w:rFonts w:ascii="Arial" w:hAnsi="Arial" w:cs="Arial"/>
          <w:color w:val="000000" w:themeColor="text1"/>
          <w:sz w:val="24"/>
          <w:szCs w:val="18"/>
        </w:rPr>
        <w:t>Aprobaciones</w:t>
      </w:r>
      <w:bookmarkEnd w:id="74"/>
      <w:bookmarkEnd w:id="75"/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79"/>
        <w:gridCol w:w="2251"/>
        <w:gridCol w:w="2403"/>
        <w:gridCol w:w="2195"/>
      </w:tblGrid>
      <w:tr w:rsidR="007223FC" w:rsidRPr="007D2283" w14:paraId="07D09E97" w14:textId="77777777" w:rsidTr="00DF712D">
        <w:tc>
          <w:tcPr>
            <w:tcW w:w="1979" w:type="dxa"/>
          </w:tcPr>
          <w:p w14:paraId="23AFF8F6" w14:textId="77777777" w:rsidR="007223FC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251" w:type="dxa"/>
          </w:tcPr>
          <w:p w14:paraId="30EEC2FF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</w:p>
        </w:tc>
        <w:tc>
          <w:tcPr>
            <w:tcW w:w="2403" w:type="dxa"/>
          </w:tcPr>
          <w:p w14:paraId="52BB6B01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Fecha</w:t>
            </w:r>
          </w:p>
        </w:tc>
        <w:tc>
          <w:tcPr>
            <w:tcW w:w="2195" w:type="dxa"/>
          </w:tcPr>
          <w:p w14:paraId="7B04F24E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Firma</w:t>
            </w:r>
          </w:p>
        </w:tc>
      </w:tr>
      <w:tr w:rsidR="007223FC" w:rsidRPr="007D2283" w14:paraId="2AF7533B" w14:textId="77777777" w:rsidTr="00DF712D">
        <w:tc>
          <w:tcPr>
            <w:tcW w:w="1979" w:type="dxa"/>
          </w:tcPr>
          <w:p w14:paraId="6960AAE5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Gabriel Muñoz</w:t>
            </w:r>
          </w:p>
        </w:tc>
        <w:tc>
          <w:tcPr>
            <w:tcW w:w="2251" w:type="dxa"/>
          </w:tcPr>
          <w:p w14:paraId="3C88FB31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Patrocinador / Gerente General</w:t>
            </w:r>
          </w:p>
        </w:tc>
        <w:tc>
          <w:tcPr>
            <w:tcW w:w="2403" w:type="dxa"/>
          </w:tcPr>
          <w:p w14:paraId="6E196522" w14:textId="7EFF5C11" w:rsidR="007223FC" w:rsidRPr="007D2283" w:rsidRDefault="00343714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</w:t>
            </w:r>
            <w:r w:rsidR="007223FC" w:rsidRPr="007D2283">
              <w:rPr>
                <w:rFonts w:ascii="Arial" w:hAnsi="Arial" w:cs="Arial"/>
              </w:rPr>
              <w:t>09/2024</w:t>
            </w:r>
          </w:p>
        </w:tc>
        <w:tc>
          <w:tcPr>
            <w:tcW w:w="2195" w:type="dxa"/>
          </w:tcPr>
          <w:p w14:paraId="5F49BD7D" w14:textId="77777777" w:rsidR="007223FC" w:rsidRPr="007D2283" w:rsidRDefault="007223FC" w:rsidP="00DF712D">
            <w:pPr>
              <w:rPr>
                <w:rFonts w:ascii="Arial" w:hAnsi="Arial" w:cs="Arial"/>
              </w:rPr>
            </w:pPr>
          </w:p>
        </w:tc>
      </w:tr>
    </w:tbl>
    <w:p w14:paraId="6579F2B3" w14:textId="77777777" w:rsidR="007223FC" w:rsidRPr="00C53A81" w:rsidRDefault="007223FC" w:rsidP="002755CD">
      <w:pPr>
        <w:rPr>
          <w:rFonts w:ascii="Arial" w:hAnsi="Arial" w:cs="Arial"/>
        </w:rPr>
      </w:pPr>
    </w:p>
    <w:sectPr w:rsidR="007223FC" w:rsidRPr="00C53A8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EB1D1" w14:textId="77777777" w:rsidR="0014724E" w:rsidRDefault="0014724E" w:rsidP="00A17421">
      <w:pPr>
        <w:spacing w:after="0" w:line="240" w:lineRule="auto"/>
      </w:pPr>
      <w:r>
        <w:separator/>
      </w:r>
    </w:p>
  </w:endnote>
  <w:endnote w:type="continuationSeparator" w:id="0">
    <w:p w14:paraId="0A646058" w14:textId="77777777" w:rsidR="0014724E" w:rsidRDefault="0014724E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91772" w14:textId="77777777" w:rsidR="0014724E" w:rsidRDefault="0014724E" w:rsidP="00A17421">
      <w:pPr>
        <w:spacing w:after="0" w:line="240" w:lineRule="auto"/>
      </w:pPr>
      <w:r>
        <w:separator/>
      </w:r>
    </w:p>
  </w:footnote>
  <w:footnote w:type="continuationSeparator" w:id="0">
    <w:p w14:paraId="0375CB87" w14:textId="77777777" w:rsidR="0014724E" w:rsidRDefault="0014724E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1EBD358D" w:rsidR="00ED46DE" w:rsidRPr="00ED46DE" w:rsidRDefault="002C1E34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Plan de Alcance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52207"/>
    <w:multiLevelType w:val="hybridMultilevel"/>
    <w:tmpl w:val="78586D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93DF8"/>
    <w:multiLevelType w:val="hybridMultilevel"/>
    <w:tmpl w:val="19DC650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E69EA"/>
    <w:multiLevelType w:val="hybridMultilevel"/>
    <w:tmpl w:val="73D42B74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028445">
    <w:abstractNumId w:val="6"/>
  </w:num>
  <w:num w:numId="2" w16cid:durableId="1761557175">
    <w:abstractNumId w:val="9"/>
  </w:num>
  <w:num w:numId="3" w16cid:durableId="1646426780">
    <w:abstractNumId w:val="10"/>
  </w:num>
  <w:num w:numId="4" w16cid:durableId="132916088">
    <w:abstractNumId w:val="1"/>
  </w:num>
  <w:num w:numId="5" w16cid:durableId="416483500">
    <w:abstractNumId w:val="7"/>
  </w:num>
  <w:num w:numId="6" w16cid:durableId="738286915">
    <w:abstractNumId w:val="4"/>
  </w:num>
  <w:num w:numId="7" w16cid:durableId="1107769518">
    <w:abstractNumId w:val="0"/>
  </w:num>
  <w:num w:numId="8" w16cid:durableId="539441836">
    <w:abstractNumId w:val="8"/>
  </w:num>
  <w:num w:numId="9" w16cid:durableId="888420166">
    <w:abstractNumId w:val="5"/>
  </w:num>
  <w:num w:numId="10" w16cid:durableId="1993555776">
    <w:abstractNumId w:val="3"/>
  </w:num>
  <w:num w:numId="11" w16cid:durableId="537160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03084"/>
    <w:rsid w:val="00034DD0"/>
    <w:rsid w:val="00035BE8"/>
    <w:rsid w:val="00056F64"/>
    <w:rsid w:val="00063534"/>
    <w:rsid w:val="00071E79"/>
    <w:rsid w:val="000977B4"/>
    <w:rsid w:val="000A3560"/>
    <w:rsid w:val="000A7C06"/>
    <w:rsid w:val="000B3E26"/>
    <w:rsid w:val="000C44C5"/>
    <w:rsid w:val="000D5FAA"/>
    <w:rsid w:val="000F6F67"/>
    <w:rsid w:val="00116106"/>
    <w:rsid w:val="001252BB"/>
    <w:rsid w:val="0014724E"/>
    <w:rsid w:val="00163F53"/>
    <w:rsid w:val="00166ADD"/>
    <w:rsid w:val="00167A4C"/>
    <w:rsid w:val="001B1ADC"/>
    <w:rsid w:val="001B70A3"/>
    <w:rsid w:val="001C70E5"/>
    <w:rsid w:val="001E0D48"/>
    <w:rsid w:val="00201DDB"/>
    <w:rsid w:val="002079BA"/>
    <w:rsid w:val="002251FA"/>
    <w:rsid w:val="00237FE3"/>
    <w:rsid w:val="00262627"/>
    <w:rsid w:val="00263A09"/>
    <w:rsid w:val="002755CD"/>
    <w:rsid w:val="002B76F8"/>
    <w:rsid w:val="002C0BD4"/>
    <w:rsid w:val="002C1E34"/>
    <w:rsid w:val="002E59BA"/>
    <w:rsid w:val="002F415C"/>
    <w:rsid w:val="002F651F"/>
    <w:rsid w:val="00343714"/>
    <w:rsid w:val="003A5BE7"/>
    <w:rsid w:val="003A75E6"/>
    <w:rsid w:val="003B157A"/>
    <w:rsid w:val="003B6541"/>
    <w:rsid w:val="003F3BF0"/>
    <w:rsid w:val="0043787D"/>
    <w:rsid w:val="0046126A"/>
    <w:rsid w:val="0048294F"/>
    <w:rsid w:val="00482B2E"/>
    <w:rsid w:val="00495ED1"/>
    <w:rsid w:val="004B1133"/>
    <w:rsid w:val="004D1632"/>
    <w:rsid w:val="004E22E9"/>
    <w:rsid w:val="004E3A91"/>
    <w:rsid w:val="00502375"/>
    <w:rsid w:val="00521DAC"/>
    <w:rsid w:val="005504BE"/>
    <w:rsid w:val="00564178"/>
    <w:rsid w:val="00564DAB"/>
    <w:rsid w:val="0057447C"/>
    <w:rsid w:val="005B0119"/>
    <w:rsid w:val="005B1351"/>
    <w:rsid w:val="005F6D4A"/>
    <w:rsid w:val="00616F8F"/>
    <w:rsid w:val="00647D75"/>
    <w:rsid w:val="00664B3A"/>
    <w:rsid w:val="006B098C"/>
    <w:rsid w:val="006D428F"/>
    <w:rsid w:val="006D735F"/>
    <w:rsid w:val="007223FC"/>
    <w:rsid w:val="00734318"/>
    <w:rsid w:val="00756E4D"/>
    <w:rsid w:val="0077553F"/>
    <w:rsid w:val="007A4D5D"/>
    <w:rsid w:val="007B5F67"/>
    <w:rsid w:val="007E5117"/>
    <w:rsid w:val="007F39C4"/>
    <w:rsid w:val="008376DF"/>
    <w:rsid w:val="00846A47"/>
    <w:rsid w:val="00851C6A"/>
    <w:rsid w:val="0085420D"/>
    <w:rsid w:val="00861B77"/>
    <w:rsid w:val="008723F9"/>
    <w:rsid w:val="0087254B"/>
    <w:rsid w:val="00876A81"/>
    <w:rsid w:val="008872D9"/>
    <w:rsid w:val="008B3441"/>
    <w:rsid w:val="009415A5"/>
    <w:rsid w:val="00960275"/>
    <w:rsid w:val="00960785"/>
    <w:rsid w:val="0097426F"/>
    <w:rsid w:val="0097723B"/>
    <w:rsid w:val="009B29C4"/>
    <w:rsid w:val="009C4382"/>
    <w:rsid w:val="009E2E7C"/>
    <w:rsid w:val="009F77F7"/>
    <w:rsid w:val="00A1077D"/>
    <w:rsid w:val="00A17421"/>
    <w:rsid w:val="00A240B4"/>
    <w:rsid w:val="00A352F1"/>
    <w:rsid w:val="00A61C5F"/>
    <w:rsid w:val="00AA0A2B"/>
    <w:rsid w:val="00AA5746"/>
    <w:rsid w:val="00AE181B"/>
    <w:rsid w:val="00AF6BB8"/>
    <w:rsid w:val="00B001E0"/>
    <w:rsid w:val="00B30A60"/>
    <w:rsid w:val="00B71B12"/>
    <w:rsid w:val="00B74C08"/>
    <w:rsid w:val="00BA2A93"/>
    <w:rsid w:val="00BA4C4B"/>
    <w:rsid w:val="00BC3033"/>
    <w:rsid w:val="00BC465C"/>
    <w:rsid w:val="00BD6D93"/>
    <w:rsid w:val="00C02264"/>
    <w:rsid w:val="00C30889"/>
    <w:rsid w:val="00C40825"/>
    <w:rsid w:val="00C47E69"/>
    <w:rsid w:val="00C53A81"/>
    <w:rsid w:val="00C84059"/>
    <w:rsid w:val="00CB6072"/>
    <w:rsid w:val="00CC2F26"/>
    <w:rsid w:val="00CE5D0A"/>
    <w:rsid w:val="00CE71E0"/>
    <w:rsid w:val="00D105E2"/>
    <w:rsid w:val="00D56B2B"/>
    <w:rsid w:val="00D57712"/>
    <w:rsid w:val="00D9784E"/>
    <w:rsid w:val="00DA02D2"/>
    <w:rsid w:val="00DC3F98"/>
    <w:rsid w:val="00DC4786"/>
    <w:rsid w:val="00DD7566"/>
    <w:rsid w:val="00E135AD"/>
    <w:rsid w:val="00E236A9"/>
    <w:rsid w:val="00E5607B"/>
    <w:rsid w:val="00E57C27"/>
    <w:rsid w:val="00E64CE8"/>
    <w:rsid w:val="00E77121"/>
    <w:rsid w:val="00ED46DE"/>
    <w:rsid w:val="00EF5F89"/>
    <w:rsid w:val="00F0642F"/>
    <w:rsid w:val="00F251DC"/>
    <w:rsid w:val="00F25629"/>
    <w:rsid w:val="00F36559"/>
    <w:rsid w:val="00F3798B"/>
    <w:rsid w:val="00F46376"/>
    <w:rsid w:val="00F5650C"/>
    <w:rsid w:val="00FB14AA"/>
    <w:rsid w:val="00FD1E98"/>
    <w:rsid w:val="00FD2140"/>
    <w:rsid w:val="00FD2724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7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1077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Troquian</cp:lastModifiedBy>
  <cp:revision>61</cp:revision>
  <dcterms:created xsi:type="dcterms:W3CDTF">2024-09-07T18:11:00Z</dcterms:created>
  <dcterms:modified xsi:type="dcterms:W3CDTF">2024-09-26T19:14:00Z</dcterms:modified>
</cp:coreProperties>
</file>