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0B2545"/>
          <w:sz w:val="34"/>
        </w:rPr>
        <w:t>MARCELO ZAPATA</w:t>
      </w:r>
    </w:p>
    <w:p>
      <w:pPr>
        <w:spacing w:after="100"/>
        <w:jc w:val="center"/>
      </w:pPr>
      <w:r>
        <w:rPr>
          <w:rFonts w:ascii="Calibri" w:hAnsi="Calibri"/>
          <w:b w:val="0"/>
          <w:color w:val="333333"/>
          <w:sz w:val="17"/>
        </w:rPr>
        <w:t>Orlando, FL | marcelozapata08@gmail.com | linkedin.com/in/marcelozap | marcelozapata.dev</w:t>
      </w:r>
    </w:p>
    <w:p>
      <w:pPr>
        <w:spacing w:before="100" w:after="20"/>
      </w:pPr>
      <w:r>
        <w:rPr>
          <w:rFonts w:ascii="Calibri" w:hAnsi="Calibri"/>
          <w:b/>
          <w:color w:val="1F4D78"/>
          <w:sz w:val="19"/>
        </w:rPr>
        <w:t>PROFESSIONAL SUMMARY</w:t>
      </w:r>
    </w:p>
    <w:p>
      <w:pPr>
        <w:spacing w:after="60" w:line="240" w:lineRule="auto"/>
      </w:pPr>
      <w:r>
        <w:rPr>
          <w:rFonts w:ascii="Calibri" w:hAnsi="Calibri"/>
          <w:b w:val="0"/>
          <w:color w:val="000000"/>
          <w:sz w:val="17"/>
        </w:rPr>
        <w:t>Software engineer with 4 years of experience across enterprise modernization, QA automation, internal workflow tooling, data/reporting workflows, and independent product builds. Strong fit for AI-enabled healthcare and pharmacy infrastructure: combines software engineering discipline, pharmacy operations context, AI-native development habits, and a builder mindset across C#, TypeScript, Python, SQL, Azure-based delivery workflows, Playwright, and API integrations.</w:t>
      </w:r>
    </w:p>
    <w:p>
      <w:pPr>
        <w:spacing w:before="100" w:after="20"/>
      </w:pPr>
      <w:r>
        <w:rPr>
          <w:rFonts w:ascii="Calibri" w:hAnsi="Calibri"/>
          <w:b/>
          <w:color w:val="1F4D78"/>
          <w:sz w:val="19"/>
        </w:rPr>
        <w:t>TECHNICAL SKILLS</w:t>
      </w:r>
    </w:p>
    <w:p>
      <w:pPr>
        <w:spacing w:after="20" w:line="240" w:lineRule="auto"/>
      </w:pPr>
      <w:r>
        <w:rPr>
          <w:rFonts w:ascii="Calibri" w:hAnsi="Calibri"/>
          <w:b/>
          <w:color w:val="000000"/>
          <w:sz w:val="17"/>
        </w:rPr>
        <w:t xml:space="preserve">Languages: </w:t>
      </w:r>
      <w:r>
        <w:rPr>
          <w:rFonts w:ascii="Calibri" w:hAnsi="Calibri"/>
          <w:b w:val="0"/>
          <w:color w:val="000000"/>
          <w:sz w:val="17"/>
        </w:rPr>
        <w:t>C#, TypeScript, Python, SQL, Swift</w:t>
      </w:r>
    </w:p>
    <w:p>
      <w:pPr>
        <w:spacing w:after="20" w:line="240" w:lineRule="auto"/>
      </w:pPr>
      <w:r>
        <w:rPr>
          <w:rFonts w:ascii="Calibri" w:hAnsi="Calibri"/>
          <w:b/>
          <w:color w:val="000000"/>
          <w:sz w:val="17"/>
        </w:rPr>
        <w:t xml:space="preserve">Backend / Product: </w:t>
      </w:r>
      <w:r>
        <w:rPr>
          <w:rFonts w:ascii="Calibri" w:hAnsi="Calibri"/>
          <w:b w:val="0"/>
          <w:color w:val="000000"/>
          <w:sz w:val="17"/>
        </w:rPr>
        <w:t>APIs, FastAPI, .NET/Avalonia, React, Next.js, Power Platform, internal workflow tooling</w:t>
      </w:r>
    </w:p>
    <w:p>
      <w:pPr>
        <w:spacing w:after="20" w:line="240" w:lineRule="auto"/>
      </w:pPr>
      <w:r>
        <w:rPr>
          <w:rFonts w:ascii="Calibri" w:hAnsi="Calibri"/>
          <w:b/>
          <w:color w:val="000000"/>
          <w:sz w:val="17"/>
        </w:rPr>
        <w:t xml:space="preserve">Cloud / Data / Delivery: </w:t>
      </w:r>
      <w:r>
        <w:rPr>
          <w:rFonts w:ascii="Calibri" w:hAnsi="Calibri"/>
          <w:b w:val="0"/>
          <w:color w:val="000000"/>
          <w:sz w:val="17"/>
        </w:rPr>
        <w:t>Azure, CI/CD, Snowflake, Databricks, Power BI, SQLite, secure configuration</w:t>
      </w:r>
    </w:p>
    <w:p>
      <w:pPr>
        <w:spacing w:after="20" w:line="240" w:lineRule="auto"/>
      </w:pPr>
      <w:r>
        <w:rPr>
          <w:rFonts w:ascii="Calibri" w:hAnsi="Calibri"/>
          <w:b/>
          <w:color w:val="000000"/>
          <w:sz w:val="17"/>
        </w:rPr>
        <w:t xml:space="preserve">Testing / Automation: </w:t>
      </w:r>
      <w:r>
        <w:rPr>
          <w:rFonts w:ascii="Calibri" w:hAnsi="Calibri"/>
          <w:b w:val="0"/>
          <w:color w:val="000000"/>
          <w:sz w:val="17"/>
        </w:rPr>
        <w:t>Playwright, regression testing, QA automation, test planning, acceptance criteria</w:t>
      </w:r>
    </w:p>
    <w:p>
      <w:pPr>
        <w:spacing w:after="20" w:line="240" w:lineRule="auto"/>
      </w:pPr>
      <w:r>
        <w:rPr>
          <w:rFonts w:ascii="Calibri" w:hAnsi="Calibri"/>
          <w:b/>
          <w:color w:val="000000"/>
          <w:sz w:val="17"/>
        </w:rPr>
        <w:t xml:space="preserve">AI / Domain: </w:t>
      </w:r>
      <w:r>
        <w:rPr>
          <w:rFonts w:ascii="Calibri" w:hAnsi="Calibri"/>
          <w:b w:val="0"/>
          <w:color w:val="000000"/>
          <w:sz w:val="17"/>
        </w:rPr>
        <w:t>AI-assisted development with ChatGPT/Codex/Cursor/Claude, healthcare/pharmacy workflow context</w:t>
      </w:r>
    </w:p>
    <w:p>
      <w:pPr>
        <w:spacing w:before="100" w:after="20"/>
      </w:pPr>
      <w:r>
        <w:rPr>
          <w:rFonts w:ascii="Calibri" w:hAnsi="Calibri"/>
          <w:b/>
          <w:color w:val="1F4D78"/>
          <w:sz w:val="19"/>
        </w:rPr>
        <w:t>EXPERIENCE</w:t>
      </w:r>
    </w:p>
    <w:p>
      <w:pPr>
        <w:spacing w:before="20" w:after="0"/>
      </w:pPr>
      <w:r>
        <w:rPr>
          <w:rFonts w:ascii="Calibri" w:hAnsi="Calibri"/>
          <w:b/>
          <w:color w:val="000000"/>
          <w:sz w:val="18"/>
        </w:rPr>
        <w:t>Publix Super Markets</w:t>
      </w:r>
      <w:r>
        <w:rPr>
          <w:rFonts w:ascii="Calibri" w:hAnsi="Calibri"/>
          <w:b w:val="0"/>
          <w:color w:val="555555"/>
          <w:sz w:val="17"/>
        </w:rPr>
        <w:t xml:space="preserve"> | 2022 - Present</w:t>
      </w:r>
    </w:p>
    <w:p>
      <w:pPr>
        <w:spacing w:after="20"/>
      </w:pPr>
      <w:r>
        <w:rPr>
          <w:rFonts w:ascii="Calibri" w:hAnsi="Calibri"/>
          <w:b/>
          <w:color w:val="333333"/>
          <w:sz w:val="17"/>
        </w:rPr>
        <w:t>Software Engineer</w:t>
      </w:r>
    </w:p>
    <w:p>
      <w:pPr>
        <w:pStyle w:val="ListBullet"/>
        <w:spacing w:after="24" w:line="240" w:lineRule="auto"/>
        <w:ind w:left="259" w:hanging="173"/>
      </w:pPr>
      <w:r>
        <w:rPr>
          <w:rFonts w:ascii="Calibri" w:hAnsi="Calibri"/>
          <w:b w:val="0"/>
          <w:color w:val="000000"/>
          <w:sz w:val="16"/>
        </w:rPr>
        <w:t>Led QA automation efforts for modernization work on a C#-heavy enterprise stack, building Playwright regression coverage and helping move validation into repeatable CI/CD workflows.</w:t>
      </w:r>
    </w:p>
    <w:p>
      <w:pPr>
        <w:pStyle w:val="ListBullet"/>
        <w:spacing w:after="24" w:line="240" w:lineRule="auto"/>
        <w:ind w:left="259" w:hanging="173"/>
      </w:pPr>
      <w:r>
        <w:rPr>
          <w:rFonts w:ascii="Calibri" w:hAnsi="Calibri"/>
          <w:b w:val="0"/>
          <w:color w:val="000000"/>
          <w:sz w:val="16"/>
        </w:rPr>
        <w:t>Improved release confidence by translating legacy behavior, edge cases, and integration expectations into clearer test coverage, acceptance criteria, and implementation notes.</w:t>
      </w:r>
    </w:p>
    <w:p>
      <w:pPr>
        <w:pStyle w:val="ListBullet"/>
        <w:spacing w:after="24" w:line="240" w:lineRule="auto"/>
        <w:ind w:left="259" w:hanging="173"/>
      </w:pPr>
      <w:r>
        <w:rPr>
          <w:rFonts w:ascii="Calibri" w:hAnsi="Calibri"/>
          <w:b w:val="0"/>
          <w:color w:val="000000"/>
          <w:sz w:val="16"/>
        </w:rPr>
        <w:t>Contributed to data, reporting, and workflow-tooling projects using Snowflake, Databricks, Power BI, Power Platform, and API integrations.</w:t>
      </w:r>
    </w:p>
    <w:p>
      <w:pPr>
        <w:pStyle w:val="ListBullet"/>
        <w:spacing w:after="24" w:line="240" w:lineRule="auto"/>
        <w:ind w:left="259" w:hanging="173"/>
      </w:pPr>
      <w:r>
        <w:rPr>
          <w:rFonts w:ascii="Calibri" w:hAnsi="Calibri"/>
          <w:b w:val="0"/>
          <w:color w:val="000000"/>
          <w:sz w:val="16"/>
        </w:rPr>
        <w:t>Worked with secure test configuration and Azure-based delivery patterns, including pipeline execution and secret/configuration handling.</w:t>
      </w:r>
    </w:p>
    <w:p>
      <w:pPr>
        <w:pStyle w:val="ListBullet"/>
        <w:spacing w:after="24" w:line="240" w:lineRule="auto"/>
        <w:ind w:left="259" w:hanging="173"/>
      </w:pPr>
      <w:r>
        <w:rPr>
          <w:rFonts w:ascii="Calibri" w:hAnsi="Calibri"/>
          <w:b w:val="0"/>
          <w:color w:val="000000"/>
          <w:sz w:val="16"/>
        </w:rPr>
        <w:t>Built and supported internal workflow tooling that reduced manual reconciliation, file-exception handling, and repetitive follow-up work.</w:t>
      </w:r>
    </w:p>
    <w:p>
      <w:pPr>
        <w:pStyle w:val="ListBullet"/>
        <w:spacing w:after="24" w:line="240" w:lineRule="auto"/>
        <w:ind w:left="259" w:hanging="173"/>
      </w:pPr>
      <w:r>
        <w:rPr>
          <w:rFonts w:ascii="Calibri" w:hAnsi="Calibri"/>
          <w:b w:val="0"/>
          <w:color w:val="000000"/>
          <w:sz w:val="16"/>
        </w:rPr>
        <w:t>Documented workflows, test plans, system behavior, and handoff notes so teammates could understand changes, reproduce issues, and support releases more confidently.</w:t>
      </w:r>
    </w:p>
    <w:p>
      <w:pPr>
        <w:pStyle w:val="ListBullet"/>
        <w:spacing w:after="24" w:line="240" w:lineRule="auto"/>
        <w:ind w:left="259" w:hanging="173"/>
      </w:pPr>
      <w:r>
        <w:rPr>
          <w:rFonts w:ascii="Calibri" w:hAnsi="Calibri"/>
          <w:b w:val="0"/>
          <w:color w:val="000000"/>
          <w:sz w:val="16"/>
        </w:rPr>
        <w:t>Use AI-assisted development tools to accelerate research, implementation planning, test design, documentation, and debugging while keeping engineering review discipline.</w:t>
      </w:r>
    </w:p>
    <w:p>
      <w:pPr>
        <w:spacing w:before="20" w:after="0"/>
      </w:pPr>
      <w:r>
        <w:rPr>
          <w:rFonts w:ascii="Calibri" w:hAnsi="Calibri"/>
          <w:b/>
          <w:color w:val="000000"/>
          <w:sz w:val="18"/>
        </w:rPr>
        <w:t>Florida State University</w:t>
      </w:r>
      <w:r>
        <w:rPr>
          <w:rFonts w:ascii="Calibri" w:hAnsi="Calibri"/>
          <w:b w:val="0"/>
          <w:color w:val="555555"/>
          <w:sz w:val="17"/>
        </w:rPr>
        <w:t xml:space="preserve"> | 2019 - 2022</w:t>
      </w:r>
    </w:p>
    <w:p>
      <w:pPr>
        <w:spacing w:after="20"/>
      </w:pPr>
      <w:r>
        <w:rPr>
          <w:rFonts w:ascii="Calibri" w:hAnsi="Calibri"/>
          <w:b/>
          <w:color w:val="333333"/>
          <w:sz w:val="17"/>
        </w:rPr>
        <w:t>S.T.E.M. Course Instructor</w:t>
      </w:r>
    </w:p>
    <w:p>
      <w:pPr>
        <w:pStyle w:val="ListBullet"/>
        <w:spacing w:after="24" w:line="240" w:lineRule="auto"/>
        <w:ind w:left="259" w:hanging="173"/>
      </w:pPr>
      <w:r>
        <w:rPr>
          <w:rFonts w:ascii="Calibri" w:hAnsi="Calibri"/>
          <w:b w:val="0"/>
          <w:color w:val="000000"/>
          <w:sz w:val="16"/>
        </w:rPr>
        <w:t>Taught STEM-focused coursework and supported students through technical concepts, structured problem solving, and hands-on learning.</w:t>
      </w:r>
    </w:p>
    <w:p>
      <w:pPr>
        <w:pStyle w:val="ListBullet"/>
        <w:spacing w:after="24" w:line="240" w:lineRule="auto"/>
        <w:ind w:left="259" w:hanging="173"/>
      </w:pPr>
      <w:r>
        <w:rPr>
          <w:rFonts w:ascii="Calibri" w:hAnsi="Calibri"/>
          <w:b w:val="0"/>
          <w:color w:val="000000"/>
          <w:sz w:val="16"/>
        </w:rPr>
        <w:t>Built communication habits that carry into engineering work: clear documentation, patient collaboration, and practical mentorship.</w:t>
      </w:r>
    </w:p>
    <w:p>
      <w:pPr>
        <w:spacing w:before="20" w:after="0"/>
      </w:pPr>
      <w:r>
        <w:rPr>
          <w:rFonts w:ascii="Calibri" w:hAnsi="Calibri"/>
          <w:b/>
          <w:color w:val="000000"/>
          <w:sz w:val="18"/>
        </w:rPr>
        <w:t>Pharmacy Operations Experience</w:t>
      </w:r>
    </w:p>
    <w:p>
      <w:pPr>
        <w:spacing w:after="20"/>
      </w:pPr>
      <w:r>
        <w:rPr>
          <w:rFonts w:ascii="Calibri" w:hAnsi="Calibri"/>
          <w:b/>
          <w:color w:val="333333"/>
          <w:sz w:val="17"/>
        </w:rPr>
        <w:t>Prior experience</w:t>
      </w:r>
    </w:p>
    <w:p>
      <w:pPr>
        <w:pStyle w:val="ListBullet"/>
        <w:spacing w:after="24" w:line="240" w:lineRule="auto"/>
        <w:ind w:left="259" w:hanging="173"/>
      </w:pPr>
      <w:r>
        <w:rPr>
          <w:rFonts w:ascii="Calibri" w:hAnsi="Calibri"/>
          <w:b w:val="0"/>
          <w:color w:val="000000"/>
          <w:sz w:val="16"/>
        </w:rPr>
        <w:t>Bring firsthand context from pharmacy operations and customer/patient-facing workflows, including the importance of accuracy, coordination, and reducing friction in service delivery.</w:t>
      </w:r>
    </w:p>
    <w:p>
      <w:pPr>
        <w:spacing w:before="100" w:after="20"/>
      </w:pPr>
      <w:r>
        <w:rPr>
          <w:rFonts w:ascii="Calibri" w:hAnsi="Calibri"/>
          <w:b/>
          <w:color w:val="1F4D78"/>
          <w:sz w:val="19"/>
        </w:rPr>
        <w:t>SELECTED BUILDS</w:t>
      </w:r>
    </w:p>
    <w:p>
      <w:pPr>
        <w:spacing w:before="20" w:after="0"/>
      </w:pPr>
      <w:r>
        <w:rPr>
          <w:rFonts w:ascii="Calibri" w:hAnsi="Calibri"/>
          <w:b/>
          <w:color w:val="000000"/>
          <w:sz w:val="18"/>
        </w:rPr>
        <w:t>GateKPT MusicOS</w:t>
      </w:r>
      <w:r>
        <w:rPr>
          <w:rFonts w:ascii="Calibri" w:hAnsi="Calibri"/>
          <w:b w:val="0"/>
          <w:color w:val="555555"/>
          <w:sz w:val="17"/>
        </w:rPr>
        <w:t xml:space="preserve"> | 2025 - Present</w:t>
      </w:r>
    </w:p>
    <w:p>
      <w:pPr>
        <w:spacing w:after="40" w:line="240" w:lineRule="auto"/>
      </w:pPr>
      <w:r>
        <w:rPr>
          <w:rFonts w:ascii="Calibri" w:hAnsi="Calibri"/>
          <w:b w:val="0"/>
          <w:color w:val="000000"/>
          <w:sz w:val="16"/>
        </w:rPr>
        <w:t>C#/.NET Avalonia creative operating system for live-loop artists, combining performance planning, local project memory, lyric/caption workflows, hardware routing, and audio-reactive visual artwork.</w:t>
      </w:r>
    </w:p>
    <w:p>
      <w:pPr>
        <w:spacing w:before="20" w:after="0"/>
      </w:pPr>
      <w:r>
        <w:rPr>
          <w:rFonts w:ascii="Calibri" w:hAnsi="Calibri"/>
          <w:b/>
          <w:color w:val="000000"/>
          <w:sz w:val="18"/>
        </w:rPr>
        <w:t>Green Machine Quant OS</w:t>
      </w:r>
      <w:r>
        <w:rPr>
          <w:rFonts w:ascii="Calibri" w:hAnsi="Calibri"/>
          <w:b w:val="0"/>
          <w:color w:val="555555"/>
          <w:sz w:val="17"/>
        </w:rPr>
        <w:t xml:space="preserve"> | 2021 - Present</w:t>
      </w:r>
    </w:p>
    <w:p>
      <w:pPr>
        <w:spacing w:after="40" w:line="240" w:lineRule="auto"/>
      </w:pPr>
      <w:r>
        <w:rPr>
          <w:rFonts w:ascii="Calibri" w:hAnsi="Calibri"/>
          <w:b w:val="0"/>
          <w:color w:val="000000"/>
          <w:sz w:val="16"/>
        </w:rPr>
        <w:t>Python/FastAPI research and paper-execution platform connecting OAuth-secured broker data with local backtesting, risk analytics, paper trading, and AI-assisted research review.</w:t>
      </w:r>
    </w:p>
    <w:p>
      <w:pPr>
        <w:spacing w:before="20" w:after="0"/>
      </w:pPr>
      <w:r>
        <w:rPr>
          <w:rFonts w:ascii="Calibri" w:hAnsi="Calibri"/>
          <w:b/>
          <w:color w:val="000000"/>
          <w:sz w:val="18"/>
        </w:rPr>
        <w:t>Rally</w:t>
      </w:r>
      <w:r>
        <w:rPr>
          <w:rFonts w:ascii="Calibri" w:hAnsi="Calibri"/>
          <w:b w:val="0"/>
          <w:color w:val="555555"/>
          <w:sz w:val="17"/>
        </w:rPr>
        <w:t xml:space="preserve"> | 2025 - Present</w:t>
      </w:r>
    </w:p>
    <w:p>
      <w:pPr>
        <w:spacing w:after="40" w:line="240" w:lineRule="auto"/>
      </w:pPr>
      <w:r>
        <w:rPr>
          <w:rFonts w:ascii="Calibri" w:hAnsi="Calibri"/>
          <w:b w:val="0"/>
          <w:color w:val="000000"/>
          <w:sz w:val="16"/>
        </w:rPr>
        <w:t>Local-first iOS product using SwiftUI, SpriteKit, SwiftData, and AVAudioEngine for tennis training, journaling, court discovery, and daily engagement loops.</w:t>
      </w:r>
    </w:p>
    <w:p>
      <w:pPr>
        <w:spacing w:before="100" w:after="20"/>
      </w:pPr>
      <w:r>
        <w:rPr>
          <w:rFonts w:ascii="Calibri" w:hAnsi="Calibri"/>
          <w:b/>
          <w:color w:val="1F4D78"/>
          <w:sz w:val="19"/>
        </w:rPr>
        <w:t>EDUCATION</w:t>
      </w:r>
    </w:p>
    <w:p>
      <w:r>
        <w:rPr>
          <w:rFonts w:ascii="Calibri" w:hAnsi="Calibri"/>
          <w:b w:val="0"/>
          <w:color w:val="000000"/>
          <w:sz w:val="17"/>
        </w:rPr>
        <w:t>Florida State University - Bachelor of Science in Computer Science &amp; Business | 2019 - 2022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