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20" w:lineRule="auto"/>
        <w:rPr/>
      </w:pPr>
      <w:r w:rsidDel="00000000" w:rsidR="00000000" w:rsidRPr="00000000">
        <w:rPr>
          <w:rtl w:val="0"/>
        </w:rPr>
        <w:t xml:space="preserve">Marcel Rodriguez-Riccelli</w:t>
      </w:r>
    </w:p>
    <w:p w:rsidR="00000000" w:rsidDel="00000000" w:rsidP="00000000" w:rsidRDefault="00000000" w:rsidRPr="00000000" w14:paraId="00000002">
      <w:pPr>
        <w:spacing w:after="240" w:before="240" w:line="120" w:lineRule="auto"/>
        <w:rPr/>
      </w:pPr>
      <w:r w:rsidDel="00000000" w:rsidR="00000000" w:rsidRPr="00000000">
        <w:rPr>
          <w:rtl w:val="0"/>
        </w:rPr>
        <w:t xml:space="preserve">Remote Sensing I (GEOG 580) </w:t>
      </w:r>
    </w:p>
    <w:p w:rsidR="00000000" w:rsidDel="00000000" w:rsidP="00000000" w:rsidRDefault="00000000" w:rsidRPr="00000000" w14:paraId="00000003">
      <w:pPr>
        <w:spacing w:after="240" w:before="240" w:line="120" w:lineRule="auto"/>
        <w:rPr/>
      </w:pPr>
      <w:r w:rsidDel="00000000" w:rsidR="00000000" w:rsidRPr="00000000">
        <w:rPr>
          <w:rtl w:val="0"/>
        </w:rPr>
        <w:t xml:space="preserve">11/1/2025</w:t>
      </w:r>
    </w:p>
    <w:p w:rsidR="00000000" w:rsidDel="00000000" w:rsidP="00000000" w:rsidRDefault="00000000" w:rsidRPr="00000000" w14:paraId="00000004">
      <w:pPr>
        <w:spacing w:after="240" w:before="240" w:line="120" w:lineRule="auto"/>
        <w:rPr>
          <w:b w:val="1"/>
          <w:u w:val="single"/>
        </w:rPr>
      </w:pPr>
      <w:r w:rsidDel="00000000" w:rsidR="00000000" w:rsidRPr="00000000">
        <w:rPr>
          <w:b w:val="1"/>
          <w:u w:val="single"/>
          <w:rtl w:val="0"/>
        </w:rPr>
        <w:t xml:space="preserve">PROJECT MILESTONE 2: REPORT OUTLINE</w:t>
      </w:r>
    </w:p>
    <w:p w:rsidR="00000000" w:rsidDel="00000000" w:rsidP="00000000" w:rsidRDefault="00000000" w:rsidRPr="00000000" w14:paraId="00000005">
      <w:pPr>
        <w:jc w:val="left"/>
        <w:rPr>
          <w:b w:val="1"/>
          <w:u w:val="single"/>
        </w:rPr>
      </w:pPr>
      <w:r w:rsidDel="00000000" w:rsidR="00000000" w:rsidRPr="00000000">
        <w:rPr>
          <w:b w:val="1"/>
          <w:u w:val="single"/>
          <w:rtl w:val="0"/>
        </w:rPr>
        <w:t xml:space="preserve">TITLE:</w:t>
      </w:r>
    </w:p>
    <w:p w:rsidR="00000000" w:rsidDel="00000000" w:rsidP="00000000" w:rsidRDefault="00000000" w:rsidRPr="00000000" w14:paraId="00000006">
      <w:pPr>
        <w:jc w:val="left"/>
        <w:rPr>
          <w:b w:val="1"/>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A quantitative evaluation of Optical vs. SAR-based Wave Kinematic Bathymetry (WKB) for deriving ocean depth in the surf-zone</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b w:val="1"/>
          <w:u w:val="single"/>
        </w:rPr>
      </w:pPr>
      <w:r w:rsidDel="00000000" w:rsidR="00000000" w:rsidRPr="00000000">
        <w:rPr>
          <w:b w:val="1"/>
          <w:u w:val="single"/>
          <w:rtl w:val="0"/>
        </w:rPr>
        <w:t xml:space="preserve">SECTION 1: MOTIVATION</w:t>
      </w:r>
    </w:p>
    <w:p w:rsidR="00000000" w:rsidDel="00000000" w:rsidP="00000000" w:rsidRDefault="00000000" w:rsidRPr="00000000" w14:paraId="0000000A">
      <w:pPr>
        <w:jc w:val="left"/>
        <w:rPr>
          <w:b w:val="1"/>
          <w:u w:val="single"/>
        </w:rPr>
      </w:pPr>
      <w:r w:rsidDel="00000000" w:rsidR="00000000" w:rsidRPr="00000000">
        <w:rPr>
          <w:rtl w:val="0"/>
        </w:rPr>
      </w:r>
    </w:p>
    <w:p w:rsidR="00000000" w:rsidDel="00000000" w:rsidP="00000000" w:rsidRDefault="00000000" w:rsidRPr="00000000" w14:paraId="0000000B">
      <w:pPr>
        <w:numPr>
          <w:ilvl w:val="0"/>
          <w:numId w:val="1"/>
        </w:numPr>
        <w:ind w:left="720" w:hanging="360"/>
        <w:jc w:val="left"/>
        <w:rPr>
          <w:u w:val="none"/>
        </w:rPr>
      </w:pPr>
      <w:r w:rsidDel="00000000" w:rsidR="00000000" w:rsidRPr="00000000">
        <w:rPr>
          <w:rtl w:val="0"/>
        </w:rPr>
        <w:t xml:space="preserve">Background on the importance of coastal science to historical / modern civilization.</w:t>
      </w:r>
    </w:p>
    <w:p w:rsidR="00000000" w:rsidDel="00000000" w:rsidP="00000000" w:rsidRDefault="00000000" w:rsidRPr="00000000" w14:paraId="0000000C">
      <w:pPr>
        <w:numPr>
          <w:ilvl w:val="0"/>
          <w:numId w:val="1"/>
        </w:numPr>
        <w:ind w:left="720" w:hanging="360"/>
        <w:jc w:val="left"/>
        <w:rPr>
          <w:u w:val="none"/>
        </w:rPr>
      </w:pPr>
      <w:r w:rsidDel="00000000" w:rsidR="00000000" w:rsidRPr="00000000">
        <w:rPr>
          <w:rtl w:val="0"/>
        </w:rPr>
        <w:t xml:space="preserve">Growing need for coastal management and engineering solutions to mitigate impact given exacerbated natural disasters caused by warming climate, and therefore data gathered able to characterize coastal processes.</w:t>
      </w:r>
    </w:p>
    <w:p w:rsidR="00000000" w:rsidDel="00000000" w:rsidP="00000000" w:rsidRDefault="00000000" w:rsidRPr="00000000" w14:paraId="0000000D">
      <w:pPr>
        <w:numPr>
          <w:ilvl w:val="0"/>
          <w:numId w:val="1"/>
        </w:numPr>
        <w:ind w:left="720" w:hanging="360"/>
        <w:jc w:val="left"/>
        <w:rPr>
          <w:u w:val="none"/>
        </w:rPr>
      </w:pPr>
      <w:r w:rsidDel="00000000" w:rsidR="00000000" w:rsidRPr="00000000">
        <w:rPr>
          <w:rtl w:val="0"/>
        </w:rPr>
        <w:t xml:space="preserve">Difficulties associated with sampling coastal processes, limitations of in-situ point sensors, advantages of remote sensing.</w:t>
      </w:r>
    </w:p>
    <w:p w:rsidR="00000000" w:rsidDel="00000000" w:rsidP="00000000" w:rsidRDefault="00000000" w:rsidRPr="00000000" w14:paraId="0000000E">
      <w:pPr>
        <w:numPr>
          <w:ilvl w:val="0"/>
          <w:numId w:val="1"/>
        </w:numPr>
        <w:ind w:left="720" w:hanging="360"/>
        <w:jc w:val="left"/>
        <w:rPr>
          <w:u w:val="none"/>
        </w:rPr>
      </w:pPr>
      <w:r w:rsidDel="00000000" w:rsidR="00000000" w:rsidRPr="00000000">
        <w:rPr>
          <w:rtl w:val="0"/>
        </w:rPr>
        <w:t xml:space="preserve">Bathymetry as the limiting variable for modeling nearshore phenomena.</w:t>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rPr>
          <w:b w:val="1"/>
          <w:u w:val="single"/>
        </w:rPr>
      </w:pPr>
      <w:r w:rsidDel="00000000" w:rsidR="00000000" w:rsidRPr="00000000">
        <w:rPr>
          <w:b w:val="1"/>
          <w:u w:val="single"/>
          <w:rtl w:val="0"/>
        </w:rPr>
        <w:t xml:space="preserve">SECTION 2: PROBLEM STATEMENT</w:t>
      </w:r>
    </w:p>
    <w:p w:rsidR="00000000" w:rsidDel="00000000" w:rsidP="00000000" w:rsidRDefault="00000000" w:rsidRPr="00000000" w14:paraId="00000011">
      <w:pPr>
        <w:rPr>
          <w:b w:val="1"/>
          <w:u w:val="single"/>
        </w:rPr>
      </w:pPr>
      <w:r w:rsidDel="00000000" w:rsidR="00000000" w:rsidRPr="00000000">
        <w:rPr>
          <w:rtl w:val="0"/>
        </w:rPr>
      </w:r>
    </w:p>
    <w:p w:rsidR="00000000" w:rsidDel="00000000" w:rsidP="00000000" w:rsidRDefault="00000000" w:rsidRPr="00000000" w14:paraId="00000012">
      <w:pPr>
        <w:numPr>
          <w:ilvl w:val="0"/>
          <w:numId w:val="5"/>
        </w:numPr>
        <w:ind w:left="720" w:hanging="360"/>
        <w:rPr/>
      </w:pPr>
      <w:r w:rsidDel="00000000" w:rsidR="00000000" w:rsidRPr="00000000">
        <w:rPr>
          <w:rtl w:val="0"/>
        </w:rPr>
        <w:t xml:space="preserve">Description of WKB for deriving bathymetry from satellite images of the ocean’s surface.</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Description of synthetic aperture radar, advantages and limitations for WKB.</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Advantages and limitations of optical imagery for WKB.</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Project goal: to derive bathymetry for four locations using optical and SAR-based WKB and compute RMSE against ground truth maps.</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Hypothesis: WKB performed on SAR imagery will be better suited to the highly energetic and turbid coasts of high latitude areas, while WKB performed on optical imagery will be better suited to the low-energy clear waters of low-latitude areas.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b w:val="1"/>
          <w:u w:val="single"/>
          <w:rtl w:val="0"/>
        </w:rPr>
        <w:t xml:space="preserve">SECTION 3: DATASETS</w:t>
      </w:r>
    </w:p>
    <w:p w:rsidR="00000000" w:rsidDel="00000000" w:rsidP="00000000" w:rsidRDefault="00000000" w:rsidRPr="00000000" w14:paraId="00000019">
      <w:pPr>
        <w:jc w:val="left"/>
        <w:rPr>
          <w:b w:val="1"/>
          <w:u w:val="single"/>
        </w:rPr>
      </w:pPr>
      <w:r w:rsidDel="00000000" w:rsidR="00000000" w:rsidRPr="00000000">
        <w:rPr>
          <w:rtl w:val="0"/>
        </w:rPr>
      </w:r>
    </w:p>
    <w:p w:rsidR="00000000" w:rsidDel="00000000" w:rsidP="00000000" w:rsidRDefault="00000000" w:rsidRPr="00000000" w14:paraId="0000001A">
      <w:pPr>
        <w:numPr>
          <w:ilvl w:val="0"/>
          <w:numId w:val="4"/>
        </w:numPr>
        <w:ind w:left="720" w:hanging="360"/>
        <w:jc w:val="left"/>
        <w:rPr>
          <w:u w:val="none"/>
        </w:rPr>
      </w:pPr>
      <w:r w:rsidDel="00000000" w:rsidR="00000000" w:rsidRPr="00000000">
        <w:rPr>
          <w:rtl w:val="0"/>
        </w:rPr>
        <w:t xml:space="preserve">Description of Wavewatch II &amp; Copernicus Marine Service</w:t>
      </w:r>
    </w:p>
    <w:p w:rsidR="00000000" w:rsidDel="00000000" w:rsidP="00000000" w:rsidRDefault="00000000" w:rsidRPr="00000000" w14:paraId="0000001B">
      <w:pPr>
        <w:numPr>
          <w:ilvl w:val="0"/>
          <w:numId w:val="4"/>
        </w:numPr>
        <w:ind w:left="720" w:hanging="360"/>
        <w:jc w:val="left"/>
        <w:rPr>
          <w:u w:val="none"/>
        </w:rPr>
      </w:pPr>
      <w:r w:rsidDel="00000000" w:rsidR="00000000" w:rsidRPr="00000000">
        <w:rPr>
          <w:rtl w:val="0"/>
        </w:rPr>
        <w:t xml:space="preserve">Description of Sentinel 1 (SAR)</w:t>
      </w:r>
    </w:p>
    <w:p w:rsidR="00000000" w:rsidDel="00000000" w:rsidP="00000000" w:rsidRDefault="00000000" w:rsidRPr="00000000" w14:paraId="0000001C">
      <w:pPr>
        <w:numPr>
          <w:ilvl w:val="0"/>
          <w:numId w:val="4"/>
        </w:numPr>
        <w:ind w:left="720" w:hanging="360"/>
        <w:jc w:val="left"/>
        <w:rPr>
          <w:u w:val="none"/>
        </w:rPr>
      </w:pPr>
      <w:r w:rsidDel="00000000" w:rsidR="00000000" w:rsidRPr="00000000">
        <w:rPr>
          <w:rtl w:val="0"/>
        </w:rPr>
        <w:t xml:space="preserve">Description of Sentinel 2 (Optical)</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Description of NCEI CRMs (Ground-truth)</w:t>
      </w:r>
    </w:p>
    <w:p w:rsidR="00000000" w:rsidDel="00000000" w:rsidP="00000000" w:rsidRDefault="00000000" w:rsidRPr="00000000" w14:paraId="0000001E">
      <w:pPr>
        <w:spacing w:after="240" w:before="240" w:lineRule="auto"/>
        <w:rPr>
          <w:b w:val="1"/>
          <w:u w:val="single"/>
        </w:rPr>
      </w:pPr>
      <w:r w:rsidDel="00000000" w:rsidR="00000000" w:rsidRPr="00000000">
        <w:rPr>
          <w:b w:val="1"/>
          <w:u w:val="single"/>
          <w:rtl w:val="0"/>
        </w:rPr>
        <w:t xml:space="preserve">SECTION 4: PROCESS</w:t>
      </w:r>
    </w:p>
    <w:p w:rsidR="00000000" w:rsidDel="00000000" w:rsidP="00000000" w:rsidRDefault="00000000" w:rsidRPr="00000000" w14:paraId="0000001F">
      <w:pPr>
        <w:numPr>
          <w:ilvl w:val="0"/>
          <w:numId w:val="2"/>
        </w:numPr>
        <w:spacing w:after="0" w:afterAutospacing="0" w:before="240" w:lineRule="auto"/>
        <w:ind w:left="720" w:hanging="360"/>
        <w:rPr>
          <w:u w:val="none"/>
        </w:rPr>
      </w:pPr>
      <w:r w:rsidDel="00000000" w:rsidR="00000000" w:rsidRPr="00000000">
        <w:rPr>
          <w:rtl w:val="0"/>
        </w:rPr>
        <w:t xml:space="preserve">Select for available NCEI CRMs at a variety of locations with diverse environmental conditions, and identify coordinates for a bounding box. Vary by latitude, exposure to marine processes, erosional / depositional, seafloor features (reefs, structures, sandbars, canyons, heavy slope).</w:t>
      </w:r>
    </w:p>
    <w:p w:rsidR="00000000" w:rsidDel="00000000" w:rsidP="00000000" w:rsidRDefault="00000000" w:rsidRPr="00000000" w14:paraId="00000020">
      <w:pPr>
        <w:numPr>
          <w:ilvl w:val="0"/>
          <w:numId w:val="2"/>
        </w:numPr>
        <w:spacing w:after="0" w:afterAutospacing="0" w:before="0" w:beforeAutospacing="0" w:lineRule="auto"/>
        <w:ind w:left="720" w:hanging="360"/>
        <w:rPr>
          <w:u w:val="none"/>
        </w:rPr>
      </w:pPr>
      <w:r w:rsidDel="00000000" w:rsidR="00000000" w:rsidRPr="00000000">
        <w:rPr>
          <w:rtl w:val="0"/>
        </w:rPr>
        <w:t xml:space="preserve">Compile a list of time windows around NCEI CRM survey time with active swell, filter for a variety of parameters.</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AOI 1: Ehukai Beach Park, Pupukea, O’ahu, Hawaii, USA</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AOI 2: Golden Gate, San Francisco, California, USA</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AOI 3: Diamond Shoals, Cape Hatteras, North Carolina, USA</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AOI 4: Florida Reef, Key West, Florida, USA</w:t>
      </w:r>
    </w:p>
    <w:p w:rsidR="00000000" w:rsidDel="00000000" w:rsidP="00000000" w:rsidRDefault="00000000" w:rsidRPr="00000000" w14:paraId="00000025">
      <w:pPr>
        <w:numPr>
          <w:ilvl w:val="0"/>
          <w:numId w:val="2"/>
        </w:numPr>
        <w:spacing w:after="0" w:afterAutospacing="0" w:before="0" w:beforeAutospacing="0" w:lineRule="auto"/>
        <w:ind w:left="720" w:hanging="360"/>
        <w:rPr>
          <w:u w:val="none"/>
        </w:rPr>
      </w:pPr>
      <w:r w:rsidDel="00000000" w:rsidR="00000000" w:rsidRPr="00000000">
        <w:rPr>
          <w:rtl w:val="0"/>
        </w:rPr>
        <w:t xml:space="preserve">Use WaveWatch III and Copernicus Marine Service models to filter for wave height, period, direction</w:t>
      </w:r>
      <w:r w:rsidDel="00000000" w:rsidR="00000000" w:rsidRPr="00000000">
        <w:rPr>
          <w:rtl w:val="0"/>
        </w:rPr>
      </w:r>
    </w:p>
    <w:p w:rsidR="00000000" w:rsidDel="00000000" w:rsidP="00000000" w:rsidRDefault="00000000" w:rsidRPr="00000000" w14:paraId="00000026">
      <w:pPr>
        <w:numPr>
          <w:ilvl w:val="0"/>
          <w:numId w:val="2"/>
        </w:numPr>
        <w:spacing w:after="0" w:afterAutospacing="0" w:before="0" w:beforeAutospacing="0" w:lineRule="auto"/>
        <w:ind w:left="720" w:hanging="360"/>
        <w:rPr>
          <w:u w:val="none"/>
        </w:rPr>
      </w:pPr>
      <w:r w:rsidDel="00000000" w:rsidR="00000000" w:rsidRPr="00000000">
        <w:rPr>
          <w:rtl w:val="0"/>
        </w:rPr>
        <w:t xml:space="preserve">Filter potential datasets based on AOI bounding box and list of time windows.</w:t>
      </w:r>
    </w:p>
    <w:p w:rsidR="00000000" w:rsidDel="00000000" w:rsidP="00000000" w:rsidRDefault="00000000" w:rsidRPr="00000000" w14:paraId="00000027">
      <w:pPr>
        <w:numPr>
          <w:ilvl w:val="0"/>
          <w:numId w:val="2"/>
        </w:numPr>
        <w:spacing w:after="0" w:afterAutospacing="0" w:before="0" w:beforeAutospacing="0" w:lineRule="auto"/>
        <w:ind w:left="720" w:hanging="360"/>
        <w:rPr>
          <w:u w:val="none"/>
        </w:rPr>
      </w:pPr>
      <w:r w:rsidDel="00000000" w:rsidR="00000000" w:rsidRPr="00000000">
        <w:rPr>
          <w:rtl w:val="0"/>
        </w:rPr>
        <w:t xml:space="preserve">Load Sentinel 1, Sentinel 2, and NCEI datasets and match the Datum / CRS / Projection for each dataset so overlayed pixels correspond spatially.</w:t>
      </w:r>
    </w:p>
    <w:p w:rsidR="00000000" w:rsidDel="00000000" w:rsidP="00000000" w:rsidRDefault="00000000" w:rsidRPr="00000000" w14:paraId="00000028">
      <w:pPr>
        <w:numPr>
          <w:ilvl w:val="0"/>
          <w:numId w:val="2"/>
        </w:numPr>
        <w:spacing w:after="0" w:afterAutospacing="0" w:before="0" w:beforeAutospacing="0" w:lineRule="auto"/>
        <w:ind w:left="720" w:hanging="360"/>
        <w:rPr>
          <w:u w:val="none"/>
        </w:rPr>
      </w:pPr>
      <w:r w:rsidDel="00000000" w:rsidR="00000000" w:rsidRPr="00000000">
        <w:rPr>
          <w:rtl w:val="0"/>
        </w:rPr>
        <w:t xml:space="preserve">Derive bathymetry from optical imagery: Randon transform &gt; discrete Fourier transform &gt; wave celerity &gt; linear dispersion</w:t>
      </w:r>
    </w:p>
    <w:p w:rsidR="00000000" w:rsidDel="00000000" w:rsidP="00000000" w:rsidRDefault="00000000" w:rsidRPr="00000000" w14:paraId="00000029">
      <w:pPr>
        <w:numPr>
          <w:ilvl w:val="0"/>
          <w:numId w:val="2"/>
        </w:numPr>
        <w:spacing w:after="0" w:afterAutospacing="0" w:before="0" w:beforeAutospacing="0" w:lineRule="auto"/>
        <w:ind w:left="720" w:hanging="360"/>
        <w:rPr>
          <w:u w:val="none"/>
        </w:rPr>
      </w:pPr>
      <w:r w:rsidDel="00000000" w:rsidR="00000000" w:rsidRPr="00000000">
        <w:rPr>
          <w:rtl w:val="0"/>
        </w:rPr>
        <w:t xml:space="preserve">Derive bathymetry from SAR: 2D Fast Fourier transform &gt; wavelength estimation &gt; linear dispersion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Compute root mean squared difference for each bathymetric derivation against NCEI CRM.</w:t>
      </w:r>
    </w:p>
    <w:p w:rsidR="00000000" w:rsidDel="00000000" w:rsidP="00000000" w:rsidRDefault="00000000" w:rsidRPr="00000000" w14:paraId="0000002B">
      <w:pPr>
        <w:spacing w:after="240" w:before="240" w:lineRule="auto"/>
        <w:rPr/>
      </w:pPr>
      <w:r w:rsidDel="00000000" w:rsidR="00000000" w:rsidRPr="00000000">
        <w:rPr>
          <w:b w:val="1"/>
          <w:u w:val="single"/>
          <w:rtl w:val="0"/>
        </w:rPr>
        <w:t xml:space="preserve">STEP 4: Results</w:t>
      </w:r>
      <w:r w:rsidDel="00000000" w:rsidR="00000000" w:rsidRPr="00000000">
        <w:rPr>
          <w:rtl w:val="0"/>
        </w:rPr>
      </w:r>
    </w:p>
    <w:p w:rsidR="00000000" w:rsidDel="00000000" w:rsidP="00000000" w:rsidRDefault="00000000" w:rsidRPr="00000000" w14:paraId="0000002C">
      <w:pPr>
        <w:numPr>
          <w:ilvl w:val="0"/>
          <w:numId w:val="3"/>
        </w:numPr>
        <w:spacing w:after="0" w:afterAutospacing="0" w:before="240" w:lineRule="auto"/>
        <w:ind w:left="720" w:hanging="360"/>
        <w:rPr>
          <w:u w:val="none"/>
        </w:rPr>
      </w:pPr>
      <w:r w:rsidDel="00000000" w:rsidR="00000000" w:rsidRPr="00000000">
        <w:rPr>
          <w:rtl w:val="0"/>
        </w:rPr>
        <w:t xml:space="preserve">Bathymetric map figures for each derivation.</w:t>
      </w:r>
    </w:p>
    <w:p w:rsidR="00000000" w:rsidDel="00000000" w:rsidP="00000000" w:rsidRDefault="00000000" w:rsidRPr="00000000" w14:paraId="0000002D">
      <w:pPr>
        <w:numPr>
          <w:ilvl w:val="0"/>
          <w:numId w:val="3"/>
        </w:numPr>
        <w:spacing w:after="0" w:afterAutospacing="0" w:before="0" w:beforeAutospacing="0" w:lineRule="auto"/>
        <w:ind w:left="720" w:hanging="360"/>
        <w:rPr>
          <w:u w:val="none"/>
        </w:rPr>
      </w:pPr>
      <w:r w:rsidDel="00000000" w:rsidR="00000000" w:rsidRPr="00000000">
        <w:rPr>
          <w:rtl w:val="0"/>
        </w:rPr>
        <w:t xml:space="preserve">Comparative graph of wave characteristics from model for each AOI.</w:t>
      </w:r>
    </w:p>
    <w:p w:rsidR="00000000" w:rsidDel="00000000" w:rsidP="00000000" w:rsidRDefault="00000000" w:rsidRPr="00000000" w14:paraId="0000002E">
      <w:pPr>
        <w:numPr>
          <w:ilvl w:val="0"/>
          <w:numId w:val="3"/>
        </w:numPr>
        <w:spacing w:after="0" w:afterAutospacing="0" w:before="0" w:beforeAutospacing="0" w:lineRule="auto"/>
        <w:ind w:left="720" w:hanging="360"/>
        <w:rPr>
          <w:u w:val="none"/>
        </w:rPr>
      </w:pPr>
      <w:r w:rsidDel="00000000" w:rsidR="00000000" w:rsidRPr="00000000">
        <w:rPr>
          <w:rtl w:val="0"/>
        </w:rPr>
        <w:t xml:space="preserve">Comparative visibility index graph for each AOI based on the unique requirements for identifying surface waves from optical (glint score &amp; cloud coverage) and SAR imagery (backscatter and L-min).</w:t>
      </w:r>
    </w:p>
    <w:p w:rsidR="00000000" w:rsidDel="00000000" w:rsidP="00000000" w:rsidRDefault="00000000" w:rsidRPr="00000000" w14:paraId="0000002F">
      <w:pPr>
        <w:numPr>
          <w:ilvl w:val="0"/>
          <w:numId w:val="3"/>
        </w:numPr>
        <w:spacing w:after="0" w:afterAutospacing="0" w:before="0" w:beforeAutospacing="0" w:lineRule="auto"/>
        <w:ind w:left="720" w:hanging="360"/>
        <w:rPr>
          <w:u w:val="none"/>
        </w:rPr>
      </w:pPr>
      <w:r w:rsidDel="00000000" w:rsidR="00000000" w:rsidRPr="00000000">
        <w:rPr>
          <w:rtl w:val="0"/>
        </w:rPr>
        <w:t xml:space="preserve">Map of the differences using bidirectional gradient of RMS error for each pixel.</w:t>
      </w:r>
    </w:p>
    <w:p w:rsidR="00000000" w:rsidDel="00000000" w:rsidP="00000000" w:rsidRDefault="00000000" w:rsidRPr="00000000" w14:paraId="00000030">
      <w:pPr>
        <w:numPr>
          <w:ilvl w:val="0"/>
          <w:numId w:val="3"/>
        </w:numPr>
        <w:spacing w:after="240" w:before="0" w:beforeAutospacing="0" w:lineRule="auto"/>
        <w:ind w:left="720" w:hanging="360"/>
        <w:rPr>
          <w:u w:val="none"/>
        </w:rPr>
      </w:pPr>
      <w:r w:rsidDel="00000000" w:rsidR="00000000" w:rsidRPr="00000000">
        <w:rPr>
          <w:rtl w:val="0"/>
        </w:rPr>
        <w:t xml:space="preserve">Discussion of findings.</w:t>
      </w:r>
    </w:p>
    <w:p w:rsidR="00000000" w:rsidDel="00000000" w:rsidP="00000000" w:rsidRDefault="00000000" w:rsidRPr="00000000" w14:paraId="00000031">
      <w:pPr>
        <w:rPr>
          <w:b w:val="1"/>
          <w:u w:val="single"/>
        </w:rPr>
      </w:pPr>
      <w:r w:rsidDel="00000000" w:rsidR="00000000" w:rsidRPr="00000000">
        <w:rPr>
          <w:b w:val="1"/>
          <w:u w:val="single"/>
          <w:rtl w:val="0"/>
        </w:rPr>
        <w:t xml:space="preserve">Works Cited</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M. Will, A. W. Kandel, K. Kyriacou, and N. J. Conard, “An evolutionary perspective on coastal adaptations by modern humans during the Middle Stone Age of Africa,” </w:t>
      </w:r>
      <w:r w:rsidDel="00000000" w:rsidR="00000000" w:rsidRPr="00000000">
        <w:rPr>
          <w:i w:val="1"/>
          <w:rtl w:val="0"/>
        </w:rPr>
        <w:t xml:space="preserve">Quaternary International</w:t>
      </w:r>
      <w:r w:rsidDel="00000000" w:rsidR="00000000" w:rsidRPr="00000000">
        <w:rPr>
          <w:rtl w:val="0"/>
        </w:rPr>
        <w:t xml:space="preserve">, vol. 404, pp. 68–86, June 2016, doi:</w:t>
      </w:r>
      <w:hyperlink r:id="rId6">
        <w:r w:rsidDel="00000000" w:rsidR="00000000" w:rsidRPr="00000000">
          <w:rPr>
            <w:rtl w:val="0"/>
          </w:rPr>
          <w:t xml:space="preserve"> </w:t>
        </w:r>
      </w:hyperlink>
      <w:hyperlink r:id="rId7">
        <w:r w:rsidDel="00000000" w:rsidR="00000000" w:rsidRPr="00000000">
          <w:rPr>
            <w:color w:val="1155cc"/>
            <w:u w:val="single"/>
            <w:rtl w:val="0"/>
          </w:rPr>
          <w:t xml:space="preserve">10.1016/j.quaint.2015.10.021</w:t>
        </w:r>
      </w:hyperlink>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M. Reithmeier, I. Laut, M. Gawehn, C. Kleih, J. Schneider von Deimling, and K. Hartmann, “Improving global coastal bathymetry from waves – Introducing scalable processing and post-processing workflows for 100 m resolution grids,” </w:t>
      </w:r>
      <w:r w:rsidDel="00000000" w:rsidR="00000000" w:rsidRPr="00000000">
        <w:rPr>
          <w:i w:val="1"/>
          <w:rtl w:val="0"/>
        </w:rPr>
        <w:t xml:space="preserve">Int. Hydrogr. Rev.</w:t>
      </w:r>
      <w:r w:rsidDel="00000000" w:rsidR="00000000" w:rsidRPr="00000000">
        <w:rPr>
          <w:rtl w:val="0"/>
        </w:rPr>
        <w:t xml:space="preserve">, vol. 30, no. 2, pp. [online], Apr. 2025. DOI: 10.58440/ihr-30-2-a18.</w:t>
      </w:r>
    </w:p>
    <w:p w:rsidR="00000000" w:rsidDel="00000000" w:rsidP="00000000" w:rsidRDefault="00000000" w:rsidRPr="00000000" w14:paraId="00000036">
      <w:pPr>
        <w:spacing w:line="324.00000000000006" w:lineRule="auto"/>
        <w:rPr/>
      </w:pPr>
      <w:r w:rsidDel="00000000" w:rsidR="00000000" w:rsidRPr="00000000">
        <w:rPr>
          <w:rtl w:val="0"/>
        </w:rPr>
      </w:r>
    </w:p>
    <w:p w:rsidR="00000000" w:rsidDel="00000000" w:rsidP="00000000" w:rsidRDefault="00000000" w:rsidRPr="00000000" w14:paraId="00000037">
      <w:pPr>
        <w:spacing w:line="324.00000000000006" w:lineRule="auto"/>
        <w:ind w:right="80"/>
        <w:rPr/>
      </w:pPr>
      <w:r w:rsidDel="00000000" w:rsidR="00000000" w:rsidRPr="00000000">
        <w:rPr>
          <w:rtl w:val="0"/>
        </w:rPr>
        <w:t xml:space="preserve">[3] W. Kron, “Coasts: the high-risk areas of the world,” </w:t>
      </w:r>
      <w:r w:rsidDel="00000000" w:rsidR="00000000" w:rsidRPr="00000000">
        <w:rPr>
          <w:i w:val="1"/>
          <w:rtl w:val="0"/>
        </w:rPr>
        <w:t xml:space="preserve">Nat Hazards</w:t>
      </w:r>
      <w:r w:rsidDel="00000000" w:rsidR="00000000" w:rsidRPr="00000000">
        <w:rPr>
          <w:rtl w:val="0"/>
        </w:rPr>
        <w:t xml:space="preserve">, vol. 66, no. 3, pp. 1363–1382, Apr. 2013, doi:</w:t>
      </w:r>
      <w:hyperlink r:id="rId8">
        <w:r w:rsidDel="00000000" w:rsidR="00000000" w:rsidRPr="00000000">
          <w:rPr>
            <w:rtl w:val="0"/>
          </w:rPr>
          <w:t xml:space="preserve"> </w:t>
        </w:r>
      </w:hyperlink>
      <w:hyperlink r:id="rId9">
        <w:r w:rsidDel="00000000" w:rsidR="00000000" w:rsidRPr="00000000">
          <w:rPr>
            <w:color w:val="1155cc"/>
            <w:u w:val="single"/>
            <w:rtl w:val="0"/>
          </w:rPr>
          <w:t xml:space="preserve">10.1007/s11069-012-0215-4</w:t>
        </w:r>
      </w:hyperlink>
      <w:r w:rsidDel="00000000" w:rsidR="00000000" w:rsidRPr="00000000">
        <w:rPr>
          <w:rtl w:val="0"/>
        </w:rPr>
        <w:t xml:space="preserve">.</w:t>
      </w:r>
    </w:p>
    <w:p w:rsidR="00000000" w:rsidDel="00000000" w:rsidP="00000000" w:rsidRDefault="00000000" w:rsidRPr="00000000" w14:paraId="00000038">
      <w:pPr>
        <w:spacing w:line="324.00000000000006" w:lineRule="auto"/>
        <w:ind w:right="8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B. Neumann, A. T. Vafeidis, J. Zimmermann, and R. J. Nicholls, “Future Coastal Population Growth and Exposure to Sea-Level Rise and Coastal Flooding - A Global Assessment,” PLOS ONE, vol. 10, no. 3, p. e0118571, Mar. 2015, doi: 10.1371/journal.pone.0118571.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S. Vitousek, D. Buscombe, K. Vos, P. L. Barnard, A. C. Ritchie, and J. A. Warrick, “The future of coastal monitoring through satellite remote sensing,” </w:t>
      </w:r>
      <w:r w:rsidDel="00000000" w:rsidR="00000000" w:rsidRPr="00000000">
        <w:rPr>
          <w:i w:val="1"/>
          <w:rtl w:val="0"/>
        </w:rPr>
        <w:t xml:space="preserve">Cambridge Prisms: Coastal Futures</w:t>
      </w:r>
      <w:r w:rsidDel="00000000" w:rsidR="00000000" w:rsidRPr="00000000">
        <w:rPr>
          <w:rtl w:val="0"/>
        </w:rPr>
        <w:t xml:space="preserve">, vol. 1, 2023, Art. no. e10, doi: 10.1017/cft.2022.4.</w:t>
      </w:r>
    </w:p>
    <w:p w:rsidR="00000000" w:rsidDel="00000000" w:rsidP="00000000" w:rsidRDefault="00000000" w:rsidRPr="00000000" w14:paraId="0000003C">
      <w:pPr>
        <w:spacing w:line="324.00000000000006" w:lineRule="auto"/>
        <w:jc w:val="right"/>
        <w:rPr>
          <w:color w:val="cccccc"/>
          <w:sz w:val="18"/>
          <w:szCs w:val="18"/>
        </w:rPr>
      </w:pPr>
      <w:r w:rsidDel="00000000" w:rsidR="00000000" w:rsidRPr="00000000">
        <w:rPr>
          <w:color w:val="cccccc"/>
          <w:sz w:val="18"/>
          <w:szCs w:val="18"/>
          <w:rtl w:val="0"/>
        </w:rPr>
        <w:t xml:space="preserve">[1]</w:t>
      </w:r>
    </w:p>
    <w:p w:rsidR="00000000" w:rsidDel="00000000" w:rsidP="00000000" w:rsidRDefault="00000000" w:rsidRPr="00000000" w14:paraId="0000003D">
      <w:pPr>
        <w:rPr>
          <w:color w:val="cccccc"/>
          <w:sz w:val="18"/>
          <w:szCs w:val="18"/>
        </w:rPr>
      </w:pPr>
      <w:r w:rsidDel="00000000" w:rsidR="00000000" w:rsidRPr="00000000">
        <w:rPr>
          <w:rtl w:val="0"/>
        </w:rPr>
        <w:t xml:space="preserve">[6] R. Holman and M. C. Haller, “Remote Sensing of the Nearshore,” Annu. Rev. Mar. Sci., vol. 5, no. 1, pp. 95–113, Jan. 2013, doi:</w:t>
      </w:r>
      <w:hyperlink r:id="rId10">
        <w:r w:rsidDel="00000000" w:rsidR="00000000" w:rsidRPr="00000000">
          <w:rPr>
            <w:color w:val="1155cc"/>
            <w:u w:val="single"/>
            <w:rtl w:val="0"/>
          </w:rPr>
          <w:t xml:space="preserve"> 10.1146/annurev-marine-121211-172408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 J. Baumann, “The Race to Make a High-Resolution Map of the World’s Oceans,” </w:t>
      </w:r>
      <w:r w:rsidDel="00000000" w:rsidR="00000000" w:rsidRPr="00000000">
        <w:rPr>
          <w:i w:val="1"/>
          <w:rtl w:val="0"/>
        </w:rPr>
        <w:t xml:space="preserve">ArcUser</w:t>
      </w:r>
      <w:r w:rsidDel="00000000" w:rsidR="00000000" w:rsidRPr="00000000">
        <w:rPr>
          <w:rtl w:val="0"/>
        </w:rPr>
        <w:t xml:space="preserve">, Esri, Feb. 6, 2019.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https://www.esri.com/about/newsroom/arcuser/xprize</w:t>
        </w:r>
      </w:hyperlink>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[8] B. G. Ruessink, J. R. Miles, F. Feddersen, R. T. Guza, and S. Elgar, “Modeling the alongshore current on barred beaches,” J. Geophys. Res., vol. 106, no. C10, pp. 22,451-22,463, 2001.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[9] S. D. Mudiyanselage, B. Wilkinson, and A. Abd-Elrahman, “Automated High-Resolution Bathymetry from Sentinel-1 SAR Images in Deeper Nearshore Coastal Waters in Eastern Florida,” </w:t>
      </w:r>
      <w:r w:rsidDel="00000000" w:rsidR="00000000" w:rsidRPr="00000000">
        <w:rPr>
          <w:i w:val="1"/>
          <w:rtl w:val="0"/>
        </w:rPr>
        <w:t xml:space="preserve">Remote Sensing</w:t>
      </w:r>
      <w:r w:rsidDel="00000000" w:rsidR="00000000" w:rsidRPr="00000000">
        <w:rPr>
          <w:rtl w:val="0"/>
        </w:rPr>
        <w:t xml:space="preserve">, vol. 16, no. 1, p. 1, Jan. 2024, doi:</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10.3390/rs16010001</w:t>
        </w:r>
      </w:hyperlink>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E. W. J. Bergsma, R. Almar, and P. Maisongrande, “Radon-Augmented Sentinel-2 Satellite Imagery to Derive Wave-Patterns and Regional Bathymetry,” </w:t>
      </w:r>
      <w:r w:rsidDel="00000000" w:rsidR="00000000" w:rsidRPr="00000000">
        <w:rPr>
          <w:i w:val="1"/>
          <w:rtl w:val="0"/>
        </w:rPr>
        <w:t xml:space="preserve">Remote Sensing</w:t>
      </w:r>
      <w:r w:rsidDel="00000000" w:rsidR="00000000" w:rsidRPr="00000000">
        <w:rPr>
          <w:rtl w:val="0"/>
        </w:rPr>
        <w:t xml:space="preserve">, vol. 11, no. 16, p. 1918, Jan. 2019, doi:</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10.3390/rs11161918</w:t>
        </w:r>
      </w:hyperlink>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1155cc"/>
          <w:u w:val="single"/>
        </w:rPr>
      </w:pPr>
      <w:r w:rsidDel="00000000" w:rsidR="00000000" w:rsidRPr="00000000">
        <w:rPr>
          <w:rtl w:val="0"/>
        </w:rPr>
        <w:t xml:space="preserve">[11] N. Earth Science Data Systems, “Sentinel-1 C-band Synthetic Aperture Radar | NASA Earthdata.” Accessed: Oct. 19, 2025. [Online].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https://www.earthdata.nasa.gov/data/instruments/sentinel-1-c-sar</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color w:val="1155cc"/>
          <w:u w:val="single"/>
        </w:rPr>
      </w:pPr>
      <w:r w:rsidDel="00000000" w:rsidR="00000000" w:rsidRPr="00000000">
        <w:rPr>
          <w:rtl w:val="0"/>
        </w:rPr>
        <w:t xml:space="preserve">[12] N. Earth Science Data Systems, “Sentinel-2 Multispectral Imager | NASA Earthdata.” Accessed: Oct. 19, 2025. [Online]. Available: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https://www.earthdata.nasa.gov/data/instruments/sentinel-2-msi</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1155cc"/>
          <w:u w:val="single"/>
        </w:rPr>
      </w:pPr>
      <w:r w:rsidDel="00000000" w:rsidR="00000000" w:rsidRPr="00000000">
        <w:rPr>
          <w:rtl w:val="0"/>
        </w:rPr>
        <w:t xml:space="preserve">[13] “Bathymetric Data Viewer.” Accessed: Oct. 19, 2025. [Online]. Available: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https://www.ncei.noaa.gov/maps/bathymetry/</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arthdata.nasa.gov/data/instruments/sentinel-2-msi" TargetMode="External"/><Relationship Id="rId11" Type="http://schemas.openxmlformats.org/officeDocument/2006/relationships/hyperlink" Target="https://www.esri.com/about/newsroom/arcuser/xprize?utm_source=chatgpt.com" TargetMode="External"/><Relationship Id="rId22" Type="http://schemas.openxmlformats.org/officeDocument/2006/relationships/hyperlink" Target="https://www.ncei.noaa.gov/maps/bathymetry/" TargetMode="External"/><Relationship Id="rId10" Type="http://schemas.openxmlformats.org/officeDocument/2006/relationships/hyperlink" Target="https://doi.org/10.1146/annurev-marine-121211-172408" TargetMode="External"/><Relationship Id="rId21" Type="http://schemas.openxmlformats.org/officeDocument/2006/relationships/hyperlink" Target="https://www.ncei.noaa.gov/maps/bathymetry/" TargetMode="External"/><Relationship Id="rId13" Type="http://schemas.openxmlformats.org/officeDocument/2006/relationships/hyperlink" Target="https://doi.org/10.3390/rs16010001" TargetMode="External"/><Relationship Id="rId12" Type="http://schemas.openxmlformats.org/officeDocument/2006/relationships/hyperlink" Target="https://www.esri.com/about/newsroom/arcuser/xprize"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1069-012-0215-4" TargetMode="External"/><Relationship Id="rId15" Type="http://schemas.openxmlformats.org/officeDocument/2006/relationships/hyperlink" Target="https://doi.org/10.3390/rs11161918" TargetMode="External"/><Relationship Id="rId14" Type="http://schemas.openxmlformats.org/officeDocument/2006/relationships/hyperlink" Target="https://doi.org/10.3390/rs16010001" TargetMode="External"/><Relationship Id="rId17" Type="http://schemas.openxmlformats.org/officeDocument/2006/relationships/hyperlink" Target="https://www.earthdata.nasa.gov/data/instruments/sentinel-1-c-sar" TargetMode="External"/><Relationship Id="rId16" Type="http://schemas.openxmlformats.org/officeDocument/2006/relationships/hyperlink" Target="https://doi.org/10.3390/rs11161918" TargetMode="External"/><Relationship Id="rId5" Type="http://schemas.openxmlformats.org/officeDocument/2006/relationships/styles" Target="styles.xml"/><Relationship Id="rId19" Type="http://schemas.openxmlformats.org/officeDocument/2006/relationships/hyperlink" Target="https://www.earthdata.nasa.gov/data/instruments/sentinel-2-msi" TargetMode="External"/><Relationship Id="rId6" Type="http://schemas.openxmlformats.org/officeDocument/2006/relationships/hyperlink" Target="https://doi.org/10.1016/j.quaint.2015.10.021" TargetMode="External"/><Relationship Id="rId18" Type="http://schemas.openxmlformats.org/officeDocument/2006/relationships/hyperlink" Target="https://www.earthdata.nasa.gov/data/instruments/sentinel-1-c-sar" TargetMode="External"/><Relationship Id="rId7" Type="http://schemas.openxmlformats.org/officeDocument/2006/relationships/hyperlink" Target="https://doi.org/10.1016/j.quaint.2015.10.021" TargetMode="External"/><Relationship Id="rId8" Type="http://schemas.openxmlformats.org/officeDocument/2006/relationships/hyperlink" Target="https://doi.org/10.1007/s11069-012-02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