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80"/>
      </w:pPr>
      <w:r>
        <w:t>A Neutral First Finite Completion of the Balance Field Framework</w:t>
      </w:r>
    </w:p>
    <w:p>
      <w:pPr>
        <w:pStyle w:val="Subtitle"/>
        <w:jc w:val="center"/>
      </w:pPr>
      <w:r>
        <w:t>A proposed source law, exact tangent reduction, and conditional successor</w:t>
      </w:r>
    </w:p>
    <w:p>
      <w:pPr>
        <w:pStyle w:val="Author"/>
        <w:jc w:val="center"/>
      </w:pPr>
      <w:r>
        <w:t>Marcel Theodor Wende</w:t>
        <w:br/>
        <w:t>BalanceFeld Gleichung (BFG) · Independent Researcher</w:t>
        <w:br/>
        <w:t>E-mail: marcel-wende@gmx.net  |  ORCID: 0009-0007-4028-2208</w:t>
      </w:r>
    </w:p>
    <w:p>
      <w:pPr>
        <w:pStyle w:val="Date"/>
        <w:jc w:val="center"/>
      </w:pPr>
      <w:r>
        <w:t>Preprint · 30 September 2026 · proposed mathematical extension</w:t>
      </w:r>
    </w:p>
    <w:p>
      <w:pPr>
        <w:pStyle w:val="AbstractTitle"/>
      </w:pPr>
      <w:r>
        <w:t xml:space="preserve">Abstract</w:t>
      </w:r>
    </w:p>
    <w:p>
      <w:pPr>
        <w:pStyle w:val="Abstract"/>
      </w:pPr>
      <w:r>
        <w:t xml:space="preserve">The</w:t>
      </w:r>
      <w:r>
        <w:t xml:space="preserve"> </w:t>
      </w:r>
      <w:r>
        <w:t xml:space="preserve">Balance-Field</w:t>
      </w:r>
      <w:r>
        <w:t xml:space="preserve"> </w:t>
      </w:r>
      <w:r>
        <w:t xml:space="preserve">Framework</w:t>
      </w:r>
      <w:r>
        <w:t xml:space="preserve"> </w:t>
      </w:r>
      <w:r>
        <w:t xml:space="preserve">(BFG)</w:t>
      </w:r>
      <w:r>
        <w:t xml:space="preserve"> </w:t>
      </w:r>
      <w:r>
        <w:t xml:space="preserve">places</w:t>
      </w:r>
      <w:r>
        <w:t xml:space="preserve"> </w:t>
      </w:r>
      <w:r>
        <w:t xml:space="preserve">neutral</w:t>
      </w:r>
      <w:r>
        <w:t xml:space="preserve"> </w:t>
      </w:r>
      <w:r>
        <w:t xml:space="preserve">admissibility</w:t>
      </w:r>
      <w:r>
        <w:t xml:space="preserve"> </w:t>
      </w:r>
      <w:r>
        <w:t xml:space="preserve">before</w:t>
      </w:r>
      <w:r>
        <w:t xml:space="preserve"> </w:t>
      </w:r>
      <w:r>
        <w:t xml:space="preserve">or</w:t>
      </w:r>
      <w:r>
        <w:t xml:space="preserve"> </w:t>
      </w:r>
      <w:r>
        <w:t xml:space="preserve">alongside</w:t>
      </w:r>
      <w:r>
        <w:t xml:space="preserve"> </w:t>
      </w:r>
      <w:r>
        <w:t xml:space="preserve">formed</w:t>
      </w:r>
      <w:r>
        <w:t xml:space="preserve"> </w:t>
      </w:r>
      <w:r>
        <w:t xml:space="preserve">distinctions,</w:t>
      </w:r>
      <w:r>
        <w:t xml:space="preserve"> </w:t>
      </w:r>
      <w:r>
        <w:t xml:space="preserve">but</w:t>
      </w:r>
      <w:r>
        <w:t xml:space="preserve"> </w:t>
      </w:r>
      <w:r>
        <w:t xml:space="preserve">its</w:t>
      </w:r>
      <w:r>
        <w:t xml:space="preserve"> </w:t>
      </w:r>
      <w:r>
        <w:t xml:space="preserve">existing</w:t>
      </w:r>
      <w:r>
        <w:t xml:space="preserve"> </w:t>
      </w:r>
      <w:r>
        <w:t xml:space="preserve">Level-0</w:t>
      </w:r>
      <w:r>
        <w:t xml:space="preserve"> </w:t>
      </w:r>
      <w:r>
        <w:t xml:space="preserve">formation</w:t>
      </w:r>
      <w:r>
        <w:t xml:space="preserve"> </w:t>
      </w:r>
      <w:r>
        <w:t xml:space="preserve">functional</w:t>
      </w:r>
      <w:r>
        <w:t xml:space="preserve"> </w:t>
      </w:r>
      <w:r>
        <w:t xml:space="preserve">and</w:t>
      </w:r>
      <w:r>
        <w:t xml:space="preserve"> </w:t>
      </w:r>
      <w:r>
        <w:t xml:space="preserve">its</w:t>
      </w:r>
      <w:r>
        <w:t xml:space="preserve"> </w:t>
      </w:r>
      <w:r>
        <w:t xml:space="preserve">exact</w:t>
      </w:r>
      <w:r>
        <w:t xml:space="preserve"> </w:t>
      </w:r>
      <w:r>
        <w:t xml:space="preserve">neutral</w:t>
      </w:r>
      <w:r>
        <w:t xml:space="preserve"> </w:t>
      </w:r>
      <w:r>
        <w:t xml:space="preserve">completion</w:t>
      </w:r>
      <w:r>
        <w:t xml:space="preserve"> </w:t>
      </w:r>
      <w:r>
        <w:t xml:space="preserve">do</w:t>
      </w:r>
      <w:r>
        <w:t xml:space="preserve"> </w:t>
      </w:r>
      <w:r>
        <w:t xml:space="preserve">not</w:t>
      </w:r>
      <w:r>
        <w:t xml:space="preserve"> </w:t>
      </w:r>
      <w:r>
        <w:t xml:space="preserve">identify</w:t>
      </w:r>
      <w:r>
        <w:t xml:space="preserve"> </w:t>
      </w:r>
      <w:r>
        <w:t xml:space="preserve">a</w:t>
      </w:r>
      <w:r>
        <w:t xml:space="preserve"> </w:t>
      </w:r>
      <w:r>
        <w:t xml:space="preserve">unique</w:t>
      </w:r>
      <w:r>
        <w:t xml:space="preserve"> </w:t>
      </w:r>
      <w:r>
        <w:t xml:space="preserve">channel</w:t>
      </w:r>
      <w:r>
        <w:t xml:space="preserve"> </w:t>
      </w:r>
      <w:r>
        <w:t xml:space="preserve">between</w:t>
      </w:r>
      <w:r>
        <w:t xml:space="preserve"> </w:t>
      </w:r>
      <w:r>
        <w:t xml:space="preserve">them.</w:t>
      </w:r>
      <w:r>
        <w:t xml:space="preserve"> </w:t>
      </w:r>
      <w:r>
        <w:t xml:space="preserve">We</w:t>
      </w:r>
      <w:r>
        <w:t xml:space="preserve"> </w:t>
      </w:r>
      <w:r>
        <w:t xml:space="preserve">state</w:t>
      </w:r>
      <w:r>
        <w:t xml:space="preserve"> </w:t>
      </w:r>
      <w:r>
        <w:t xml:space="preserve">a</w:t>
      </w:r>
      <w:r>
        <w:t xml:space="preserve"> </w:t>
      </w:r>
      <w:r>
        <w:t xml:space="preserve">neutral-capacity</w:t>
      </w:r>
      <w:r>
        <w:t xml:space="preserve"> </w:t>
      </w:r>
      <w:r>
        <w:t xml:space="preserve">source</w:t>
      </w:r>
      <w:r>
        <w:t xml:space="preserve"> </w:t>
      </w:r>
      <w:r>
        <w:t xml:space="preserve">rule</w:t>
      </w:r>
      <w:r>
        <w:t xml:space="preserve"> </w:t>
      </w:r>
      <w:r>
        <w:t xml:space="preserve">in</w:t>
      </w:r>
      <w:r>
        <w:t xml:space="preserve"> </w:t>
      </w:r>
      <w:r>
        <w:t xml:space="preserve">a</w:t>
      </w:r>
      <w:r>
        <w:t xml:space="preserve"> </w:t>
      </w:r>
      <w:r>
        <w:t xml:space="preserve">finite-dimensional</w:t>
      </w:r>
      <w:r>
        <w:t xml:space="preserve"> </w:t>
      </w:r>
      <w:r>
        <w:t xml:space="preserve">formed-branch</w:t>
      </w:r>
      <w:r>
        <w:t xml:space="preserve"> </w:t>
      </w:r>
      <w:r>
        <w:t xml:space="preserve">tangent</w:t>
      </w:r>
      <w:r>
        <w:t xml:space="preserve"> </w:t>
      </w:r>
      <w:r>
        <w:t xml:space="preserve">sector.</w:t>
      </w:r>
      <w:r>
        <w:t xml:space="preserve"> </w:t>
      </w:r>
      <w:r>
        <w:t xml:space="preserve">The</w:t>
      </w:r>
      <w:r>
        <w:t xml:space="preserve"> </w:t>
      </w:r>
      <w:r>
        <w:t xml:space="preserve">rule</w:t>
      </w:r>
      <w:r>
        <w:t xml:space="preserve"> </w:t>
      </w:r>
      <w:r>
        <w:t xml:space="preserve">identifies</w:t>
      </w:r>
      <w:r>
        <w:t xml:space="preserve"> </w:t>
      </w:r>
      <w:r>
        <w:t xml:space="preserve">the</w:t>
      </w:r>
      <w:r>
        <w:t xml:space="preserve"> </w:t>
      </w:r>
      <w:r>
        <w:t xml:space="preserve">mixed</w:t>
      </w:r>
      <w:r>
        <w:t xml:space="preserve"> </w:t>
      </w:r>
      <w:r>
        <w:t xml:space="preserve">source–neutral</w:t>
      </w:r>
      <w:r>
        <w:t xml:space="preserve"> </w:t>
      </w:r>
      <w:r>
        <w:t xml:space="preserve">Hessian</w:t>
      </w:r>
      <w:r>
        <w:t xml:space="preserve"> </w:t>
      </w:r>
      <w:r>
        <w:t xml:space="preserve">with</w:t>
      </w:r>
      <w:r>
        <w:t xml:space="preserve"> </w:t>
      </w:r>
      <w:r>
        <w:t xml:space="preserve">the</w:t>
      </w:r>
      <w:r>
        <w:t xml:space="preserve"> </w:t>
      </w:r>
      <w:r>
        <w:t xml:space="preserve">already</w:t>
      </w:r>
      <w:r>
        <w:t xml:space="preserve"> </w:t>
      </w:r>
      <w:r>
        <w:t xml:space="preserve">named</w:t>
      </w:r>
      <w:r>
        <w:t xml:space="preserve"> </w:t>
      </w:r>
      <w:r>
        <w:t xml:space="preserve">neutral-capacity</w:t>
      </w:r>
      <w:r>
        <w:t xml:space="preserve"> </w:t>
      </w:r>
      <w:r>
        <w:t xml:space="preserve">operator</w:t>
      </w:r>
      <w:r>
        <w:t xml:space="preserve"> </w:t>
      </w:r>
      <w:r>
        <w:t xml:space="preserve">and</w:t>
      </w:r>
      <w:r>
        <w:t xml:space="preserve"> </w:t>
      </w:r>
      <w:r>
        <w:t xml:space="preserve">gives</w:t>
      </w:r>
      <w:r>
        <w:t xml:space="preserve"> </w:t>
      </w:r>
      <w:r>
        <w:t xml:space="preserve">the</w:t>
      </w:r>
      <w:r>
        <w:t xml:space="preserve"> </w:t>
      </w:r>
      <w:r>
        <w:t xml:space="preserve">completed</w:t>
      </w:r>
      <w:r>
        <w:t xml:space="preserve"> </w:t>
      </w:r>
      <w:r>
        <w:t xml:space="preserve">neutral</w:t>
      </w:r>
      <w:r>
        <w:t xml:space="preserve"> </w:t>
      </w:r>
      <w:r>
        <w:t xml:space="preserve">cost</w:t>
      </w:r>
      <w:r>
        <w:t xml:space="preserve"> </w:t>
      </w:r>
      <w:r>
        <w:t xml:space="preserve">the</w:t>
      </w:r>
      <w:r>
        <w:t xml:space="preserve"> </w:t>
      </w:r>
      <w:r>
        <w:t xml:space="preserve">formed-branch</w:t>
      </w:r>
      <w:r>
        <w:t xml:space="preserve"> </w:t>
      </w:r>
      <w:r>
        <w:t xml:space="preserve">Hessian</w:t>
      </w:r>
      <w:r>
        <w:t xml:space="preserve"> </w:t>
      </w:r>
      <w:r>
        <w:t xml:space="preserve">metric.</w:t>
      </w:r>
      <w:r>
        <w:t xml:space="preserve"> </w:t>
      </w:r>
      <w:r>
        <w:t xml:space="preserve">These</w:t>
      </w:r>
      <w:r>
        <w:t xml:space="preserve"> </w:t>
      </w:r>
      <w:r>
        <w:t xml:space="preserve">are</w:t>
      </w:r>
      <w:r>
        <w:t xml:space="preserve"> </w:t>
      </w:r>
      <w:r>
        <w:rPr>
          <w:iCs/>
          <w:i/>
        </w:rPr>
        <w:t xml:space="preserve">new</w:t>
      </w:r>
      <w:r>
        <w:rPr>
          <w:iCs/>
          <w:i/>
        </w:rPr>
        <w:t xml:space="preserve"> </w:t>
      </w:r>
      <w:r>
        <w:rPr>
          <w:iCs/>
          <w:i/>
        </w:rPr>
        <w:t xml:space="preserve">constitutive</w:t>
      </w:r>
      <w:r>
        <w:rPr>
          <w:iCs/>
          <w:i/>
        </w:rPr>
        <w:t xml:space="preserve"> </w:t>
      </w:r>
      <w:r>
        <w:rPr>
          <w:iCs/>
          <w:i/>
        </w:rPr>
        <w:t xml:space="preserve">identifications</w:t>
      </w:r>
      <w:r>
        <w:t xml:space="preserve">,</w:t>
      </w:r>
      <w:r>
        <w:t xml:space="preserve"> </w:t>
      </w:r>
      <w:r>
        <w:t xml:space="preserve">expressed</w:t>
      </w:r>
      <w:r>
        <w:t xml:space="preserve"> </w:t>
      </w:r>
      <w:r>
        <w:t xml:space="preserve">in</w:t>
      </w:r>
      <w:r>
        <w:t xml:space="preserve"> </w:t>
      </w:r>
      <w:r>
        <w:t xml:space="preserve">BFG</w:t>
      </w:r>
      <w:r>
        <w:t xml:space="preserve"> </w:t>
      </w:r>
      <w:r>
        <w:t xml:space="preserve">quantities,</w:t>
      </w:r>
      <w:r>
        <w:t xml:space="preserve"> </w:t>
      </w:r>
      <w:r>
        <w:t xml:space="preserve">rather</w:t>
      </w:r>
      <w:r>
        <w:t xml:space="preserve"> </w:t>
      </w:r>
      <w:r>
        <w:t xml:space="preserve">than</w:t>
      </w:r>
      <w:r>
        <w:t xml:space="preserve"> </w:t>
      </w:r>
      <w:r>
        <w:t xml:space="preserve">consequences</w:t>
      </w:r>
      <w:r>
        <w:t xml:space="preserve"> </w:t>
      </w:r>
      <w:r>
        <w:t xml:space="preserve">of</w:t>
      </w:r>
      <w:r>
        <w:t xml:space="preserve"> </w:t>
      </w:r>
      <w:r>
        <w:t xml:space="preserve">the</w:t>
      </w:r>
      <w:r>
        <w:t xml:space="preserve"> </w:t>
      </w:r>
      <w:r>
        <w:t xml:space="preserve">earlier</w:t>
      </w:r>
      <w:r>
        <w:t xml:space="preserve"> </w:t>
      </w:r>
      <w:r>
        <w:t xml:space="preserve">formation</w:t>
      </w:r>
      <w:r>
        <w:t xml:space="preserve"> </w:t>
      </w:r>
      <w:r>
        <w:t xml:space="preserve">equation.</w:t>
      </w:r>
      <w:r>
        <w:t xml:space="preserve"> </w:t>
      </w:r>
      <w:r>
        <w:t xml:space="preserve">They</w:t>
      </w:r>
      <w:r>
        <w:t xml:space="preserve"> </w:t>
      </w:r>
      <w:r>
        <w:t xml:space="preserve">uniquely</w:t>
      </w:r>
      <w:r>
        <w:t xml:space="preserve"> </w:t>
      </w:r>
      <w:r>
        <w:t xml:space="preserve">determine</w:t>
      </w:r>
      <w:r>
        <w:t xml:space="preserve"> </w:t>
      </w:r>
      <w:r>
        <w:t xml:space="preserve">the</w:t>
      </w:r>
      <w:r>
        <w:t xml:space="preserve"> </w:t>
      </w:r>
      <w:r>
        <w:t xml:space="preserve">tangent</w:t>
      </w:r>
      <w:r>
        <w:t xml:space="preserve"> </w:t>
      </w:r>
      <w:r>
        <w:t xml:space="preserve">channel,</w:t>
      </w:r>
      <w:r>
        <w:t xml:space="preserve"> </w:t>
      </w:r>
      <w:r>
        <w:t xml:space="preserve">its</w:t>
      </w:r>
      <w:r>
        <w:t xml:space="preserve"> </w:t>
      </w:r>
      <w:r>
        <w:t xml:space="preserve">Gram</w:t>
      </w:r>
      <w:r>
        <w:t xml:space="preserve"> </w:t>
      </w:r>
      <w:r>
        <w:t xml:space="preserve">load,</w:t>
      </w:r>
      <w:r>
        <w:t xml:space="preserve"> </w:t>
      </w:r>
      <w:r>
        <w:t xml:space="preserve">and</w:t>
      </w:r>
      <w:r>
        <w:t xml:space="preserve"> </w:t>
      </w:r>
      <w:r>
        <w:t xml:space="preserve">the</w:t>
      </w:r>
      <w:r>
        <w:t xml:space="preserve"> </w:t>
      </w:r>
      <w:r>
        <w:t xml:space="preserve">exact</w:t>
      </w:r>
      <w:r>
        <w:t xml:space="preserve"> </w:t>
      </w:r>
      <w:r>
        <w:t xml:space="preserve">neutral</w:t>
      </w:r>
      <w:r>
        <w:t xml:space="preserve"> </w:t>
      </w:r>
      <w:r>
        <w:t xml:space="preserve">resolvent.</w:t>
      </w:r>
      <w:r>
        <w:t xml:space="preserve"> </w:t>
      </w:r>
      <w:r>
        <w:t xml:space="preserve">A</w:t>
      </w:r>
      <w:r>
        <w:t xml:space="preserve"> </w:t>
      </w:r>
      <w:r>
        <w:t xml:space="preserve">general</w:t>
      </w:r>
      <w:r>
        <w:t xml:space="preserve"> </w:t>
      </w:r>
      <w:r>
        <w:t xml:space="preserve">Schur-complement</w:t>
      </w:r>
      <w:r>
        <w:t xml:space="preserve"> </w:t>
      </w:r>
      <w:r>
        <w:t xml:space="preserve">characterization</w:t>
      </w:r>
      <w:r>
        <w:t xml:space="preserve"> </w:t>
      </w:r>
      <w:r>
        <w:t xml:space="preserve">proves</w:t>
      </w:r>
      <w:r>
        <w:t xml:space="preserve"> </w:t>
      </w:r>
      <w:r>
        <w:t xml:space="preserve">that</w:t>
      </w:r>
      <w:r>
        <w:t xml:space="preserve"> </w:t>
      </w:r>
      <w:r>
        <w:t xml:space="preserve">both</w:t>
      </w:r>
      <w:r>
        <w:t xml:space="preserve"> </w:t>
      </w:r>
      <w:r>
        <w:t xml:space="preserve">identifications</w:t>
      </w:r>
      <w:r>
        <w:t xml:space="preserve"> </w:t>
      </w:r>
      <w:r>
        <w:t xml:space="preserve">are</w:t>
      </w:r>
      <w:r>
        <w:t xml:space="preserve"> </w:t>
      </w:r>
      <w:r>
        <w:t xml:space="preserve">necessary</w:t>
      </w:r>
      <w:r>
        <w:t xml:space="preserve"> </w:t>
      </w:r>
      <w:r>
        <w:t xml:space="preserve">for</w:t>
      </w:r>
      <w:r>
        <w:t xml:space="preserve"> </w:t>
      </w:r>
      <w:r>
        <w:t xml:space="preserve">this</w:t>
      </w:r>
      <w:r>
        <w:t xml:space="preserve"> </w:t>
      </w:r>
      <w:r>
        <w:t xml:space="preserve">particular</w:t>
      </w:r>
      <w:r>
        <w:t xml:space="preserve"> </w:t>
      </w:r>
      <w:r>
        <w:t xml:space="preserve">completion.</w:t>
      </w:r>
      <w:r>
        <w:t xml:space="preserve"> </w:t>
      </w:r>
      <w:r>
        <w:t xml:space="preserve">Scalar</w:t>
      </w:r>
      <w:r>
        <w:t xml:space="preserve"> </w:t>
      </w:r>
      <w:r>
        <w:t xml:space="preserve">countermodels</w:t>
      </w:r>
      <w:r>
        <w:t xml:space="preserve"> </w:t>
      </w:r>
      <w:r>
        <w:t xml:space="preserve">establish</w:t>
      </w:r>
      <w:r>
        <w:t xml:space="preserve"> </w:t>
      </w:r>
      <w:r>
        <w:t xml:space="preserve">non-uniqueness</w:t>
      </w:r>
      <w:r>
        <w:t xml:space="preserve"> </w:t>
      </w:r>
      <w:r>
        <w:t xml:space="preserve">under</w:t>
      </w:r>
      <w:r>
        <w:t xml:space="preserve"> </w:t>
      </w:r>
      <w:r>
        <w:t xml:space="preserve">the</w:t>
      </w:r>
      <w:r>
        <w:t xml:space="preserve"> </w:t>
      </w:r>
      <w:r>
        <w:t xml:space="preserve">older</w:t>
      </w:r>
      <w:r>
        <w:t xml:space="preserve"> </w:t>
      </w:r>
      <w:r>
        <w:t xml:space="preserve">data;</w:t>
      </w:r>
      <w:r>
        <w:t xml:space="preserve"> </w:t>
      </w:r>
      <w:r>
        <w:t xml:space="preserve">a</w:t>
      </w:r>
      <w:r>
        <w:t xml:space="preserve"> </w:t>
      </w:r>
      <w:r>
        <w:t xml:space="preserve">two-dimensional</w:t>
      </w:r>
      <w:r>
        <w:t xml:space="preserve"> </w:t>
      </w:r>
      <w:r>
        <w:t xml:space="preserve">example</w:t>
      </w:r>
      <w:r>
        <w:t xml:space="preserve"> </w:t>
      </w:r>
      <w:r>
        <w:t xml:space="preserve">retains</w:t>
      </w:r>
      <w:r>
        <w:t xml:space="preserve"> </w:t>
      </w:r>
      <w:r>
        <w:t xml:space="preserve">a</w:t>
      </w:r>
      <w:r>
        <w:t xml:space="preserve"> </w:t>
      </w:r>
      <w:r>
        <w:t xml:space="preserve">noncommuting</w:t>
      </w:r>
      <w:r>
        <w:t xml:space="preserve"> </w:t>
      </w:r>
      <w:r>
        <w:t xml:space="preserve">neutral</w:t>
      </w:r>
      <w:r>
        <w:t xml:space="preserve"> </w:t>
      </w:r>
      <w:r>
        <w:t xml:space="preserve">load.</w:t>
      </w:r>
      <w:r>
        <w:t xml:space="preserve"> </w:t>
      </w:r>
      <w:r>
        <w:t xml:space="preserve">Three</w:t>
      </w:r>
      <w:r>
        <w:t xml:space="preserve"> </w:t>
      </w:r>
      <w:r>
        <w:t xml:space="preserve">separately</w:t>
      </w:r>
      <w:r>
        <w:t xml:space="preserve"> </w:t>
      </w:r>
      <w:r>
        <w:t xml:space="preserve">declared</w:t>
      </w:r>
      <w:r>
        <w:t xml:space="preserve"> </w:t>
      </w:r>
      <w:r>
        <w:t xml:space="preserve">finite</w:t>
      </w:r>
      <w:r>
        <w:t xml:space="preserve"> </w:t>
      </w:r>
      <w:r>
        <w:t xml:space="preserve">successor</w:t>
      </w:r>
      <w:r>
        <w:t xml:space="preserve"> </w:t>
      </w:r>
      <w:r>
        <w:t xml:space="preserve">rules</w:t>
      </w:r>
      <w:r>
        <w:t xml:space="preserve"> </w:t>
      </w:r>
      <w:r>
        <w:t xml:space="preserve">give</w:t>
      </w:r>
      <w:r>
        <w:t xml:space="preserve"> </w:t>
      </w:r>
      <w:r>
        <w:t xml:space="preserve">a</w:t>
      </w:r>
      <w:r>
        <w:t xml:space="preserve"> </w:t>
      </w:r>
      <w:r>
        <w:t xml:space="preserve">conditional,</w:t>
      </w:r>
      <w:r>
        <w:t xml:space="preserve"> </w:t>
      </w:r>
      <w:r>
        <w:t xml:space="preserve">rank-aware</w:t>
      </w:r>
      <w:r>
        <w:t xml:space="preserve"> </w:t>
      </w:r>
      <w:r>
        <w:t xml:space="preserve">self-map</w:t>
      </w:r>
      <w:r>
        <w:t xml:space="preserve"> </w:t>
      </w:r>
      <w:r>
        <w:t xml:space="preserve">with</w:t>
      </w:r>
      <w:r>
        <w:t xml:space="preserve"> </w:t>
      </w:r>
      <w:r>
        <w:t xml:space="preserve">exact</w:t>
      </w:r>
      <w:r>
        <w:t xml:space="preserve"> </w:t>
      </w:r>
      <w:r>
        <w:t xml:space="preserve">terminal</w:t>
      </w:r>
      <w:r>
        <w:t xml:space="preserve"> </w:t>
      </w:r>
      <w:r>
        <w:t xml:space="preserve">gates.</w:t>
      </w:r>
      <w:r>
        <w:t xml:space="preserve"> </w:t>
      </w:r>
      <w:r>
        <w:t xml:space="preserve">This</w:t>
      </w:r>
      <w:r>
        <w:t xml:space="preserve"> </w:t>
      </w:r>
      <w:r>
        <w:t xml:space="preserve">paper</w:t>
      </w:r>
      <w:r>
        <w:t xml:space="preserve"> </w:t>
      </w:r>
      <w:r>
        <w:t xml:space="preserve">neither</w:t>
      </w:r>
      <w:r>
        <w:t xml:space="preserve"> </w:t>
      </w:r>
      <w:r>
        <w:t xml:space="preserve">asserts</w:t>
      </w:r>
      <w:r>
        <w:t xml:space="preserve"> </w:t>
      </w:r>
      <w:r>
        <w:t xml:space="preserve">a</w:t>
      </w:r>
      <w:r>
        <w:t xml:space="preserve"> </w:t>
      </w:r>
      <w:r>
        <w:t xml:space="preserve">derivation</w:t>
      </w:r>
      <w:r>
        <w:t xml:space="preserve"> </w:t>
      </w:r>
      <w:r>
        <w:t xml:space="preserve">of</w:t>
      </w:r>
      <w:r>
        <w:t xml:space="preserve"> </w:t>
      </w:r>
      <w:r>
        <w:t xml:space="preserve">its</w:t>
      </w:r>
      <w:r>
        <w:t xml:space="preserve"> </w:t>
      </w:r>
      <w:r>
        <w:t xml:space="preserve">new</w:t>
      </w:r>
      <w:r>
        <w:t xml:space="preserve"> </w:t>
      </w:r>
      <w:r>
        <w:t xml:space="preserve">source</w:t>
      </w:r>
      <w:r>
        <w:t xml:space="preserve"> </w:t>
      </w:r>
      <w:r>
        <w:t xml:space="preserve">rule</w:t>
      </w:r>
      <w:r>
        <w:t xml:space="preserve"> </w:t>
      </w:r>
      <w:r>
        <w:t xml:space="preserve">from</w:t>
      </w:r>
      <w:r>
        <w:t xml:space="preserve"> </w:t>
      </w:r>
      <w:r>
        <w:t xml:space="preserve">the</w:t>
      </w:r>
      <w:r>
        <w:t xml:space="preserve"> </w:t>
      </w:r>
      <w:r>
        <w:t xml:space="preserve">older</w:t>
      </w:r>
      <w:r>
        <w:t xml:space="preserve"> </w:t>
      </w:r>
      <w:r>
        <w:t xml:space="preserve">Level-0</w:t>
      </w:r>
      <w:r>
        <w:t xml:space="preserve"> </w:t>
      </w:r>
      <w:r>
        <w:t xml:space="preserve">text</w:t>
      </w:r>
      <w:r>
        <w:t xml:space="preserve"> </w:t>
      </w:r>
      <w:r>
        <w:t xml:space="preserve">nor</w:t>
      </w:r>
      <w:r>
        <w:t xml:space="preserve"> </w:t>
      </w:r>
      <w:r>
        <w:t xml:space="preserve">identifies</w:t>
      </w:r>
      <w:r>
        <w:t xml:space="preserve"> </w:t>
      </w:r>
      <w:r>
        <w:t xml:space="preserve">a</w:t>
      </w:r>
      <w:r>
        <w:t xml:space="preserve"> </w:t>
      </w:r>
      <w:r>
        <w:t xml:space="preserve">natural</w:t>
      </w:r>
      <w:r>
        <w:t xml:space="preserve"> </w:t>
      </w:r>
      <w:r>
        <w:t xml:space="preserve">physical</w:t>
      </w:r>
      <w:r>
        <w:t xml:space="preserve"> </w:t>
      </w:r>
      <w:r>
        <w:t xml:space="preserve">mediator</w:t>
      </w:r>
      <w:r>
        <w:t xml:space="preserve"> </w:t>
      </w:r>
      <w:r>
        <w:t xml:space="preserve">or</w:t>
      </w:r>
      <w:r>
        <w:t xml:space="preserve"> </w:t>
      </w:r>
      <w:r>
        <w:t xml:space="preserve">proves</w:t>
      </w:r>
      <w:r>
        <w:t xml:space="preserve"> </w:t>
      </w:r>
      <w:r>
        <w:t xml:space="preserve">universal</w:t>
      </w:r>
      <w:r>
        <w:t xml:space="preserve"> </w:t>
      </w:r>
      <w:r>
        <w:t xml:space="preserve">irreducible</w:t>
      </w:r>
      <w:r>
        <w:t xml:space="preserve"> </w:t>
      </w:r>
      <w:r>
        <w:t xml:space="preserve">emergence.</w:t>
      </w:r>
    </w:p>
    <w:p>
      <w:pPr>
        <w:pStyle w:val="FirstParagraph"/>
      </w:pPr>
      <w:r>
        <w:rPr>
          <w:bCs/>
          <w:b/>
        </w:rPr>
        <w:t xml:space="preserve">Keywords:</w:t>
      </w:r>
      <w:r>
        <w:t xml:space="preserve"> </w:t>
      </w:r>
      <w:r>
        <w:t xml:space="preserve">Balance-Field Framework; Level 0; neutral admissibility; Hessian; Schur complement; resolvent; finite reclosure.</w:t>
      </w:r>
      <w:r>
        <w:br/>
      </w:r>
      <w:r>
        <w:rPr>
          <w:bCs/>
          <w:b/>
        </w:rPr>
        <w:t xml:space="preserve">Claim status:</w:t>
      </w:r>
      <w:r>
        <w:t xml:space="preserve"> </w:t>
      </w:r>
      <w:r>
        <w:t xml:space="preserve">new source law proposed; algebraic consequences proved conditionally; natural realization open.</w:t>
      </w:r>
    </w:p>
    <w:bookmarkStart w:id="21" w:name="source-order-and-mathematical-scope"/>
    <w:p>
      <w:pPr>
        <w:pStyle w:val="Heading1"/>
      </w:pPr>
      <w:r>
        <w:rPr>
          <w:rStyle w:val="SectionNumber"/>
        </w:rPr>
        <w:t xml:space="preserve">1</w:t>
      </w:r>
      <w:r>
        <w:tab/>
      </w:r>
      <w:r>
        <w:t xml:space="preserve">Source order and mathematical scope</w:t>
      </w:r>
    </w:p>
    <w:p>
      <w:pPr>
        <w:pStyle w:val="FirstParagraph"/>
      </w:pPr>
      <w:r>
        <w:t xml:space="preserve">The earlier constructive BFG formulation describes primitive units, admissibility, signed transitions, recurrence, and identity retention [1]. A neutral appearance proposal places an appearance-supporting neutral condition before admissible distinction, schematically</w:t>
      </w:r>
      <w:r>
        <w:t xml:space="preserve"> </w:t>
      </w:r>
      <m:oMath>
        <m:sSub>
          <m:e>
            <m:r>
              <m:t>N</m:t>
            </m:r>
          </m:e>
          <m:sub>
            <m:r>
              <m:rPr>
                <m:sty m:val="p"/>
              </m:rPr>
              <m:t>p</m:t>
            </m:r>
            <m:r>
              <m:rPr>
                <m:sty m:val="p"/>
              </m:rPr>
              <m:t>r</m:t>
            </m:r>
            <m:r>
              <m:rPr>
                <m:sty m:val="p"/>
              </m:rPr>
              <m:t>e</m:t>
            </m:r>
          </m:sub>
        </m:sSub>
        <m:r>
          <m:rPr>
            <m:sty m:val="p"/>
          </m:rPr>
          <m:t>→</m:t>
        </m:r>
        <m:r>
          <m:t>Δ</m:t>
        </m:r>
        <m:sSub>
          <m:e>
            <m:r>
              <m:t>N</m:t>
            </m:r>
          </m:e>
          <m:sub>
            <m:r>
              <m:t>0</m:t>
            </m:r>
          </m:sub>
        </m:sSub>
        <m:r>
          <m:rPr>
            <m:sty m:val="p"/>
          </m:rPr>
          <m:t>→</m:t>
        </m:r>
        <m:d>
          <m:dPr>
            <m:begChr m:val="("/>
            <m:endChr m:val=")"/>
            <m:sepChr m:val=""/>
            <m:grow/>
          </m:dPr>
          <m:e>
            <m:r>
              <m:rPr>
                <m:sty m:val="p"/>
              </m:rPr>
              <m:t>+</m:t>
            </m:r>
            <m:r>
              <m:rPr>
                <m:sty m:val="p"/>
              </m:rPr>
              <m:t>,</m:t>
            </m:r>
            <m:r>
              <m:rPr>
                <m:sty m:val="p"/>
              </m:rPr>
              <m:t>−</m:t>
            </m:r>
          </m:e>
        </m:d>
      </m:oMath>
      <w:r>
        <w:t xml:space="preserve"> </w:t>
      </w:r>
      <w:r>
        <w:t xml:space="preserve">[2]. This is a precedence claim. It does not, by itself, specify a differentiable cross-energy or a normalization in the later finite Hilbert carrier. In particular, the precursor</w:t>
      </w:r>
      <w:r>
        <w:t xml:space="preserve"> </w:t>
      </w:r>
      <m:oMath>
        <m:sSub>
          <m:e>
            <m:r>
              <m:t>N</m:t>
            </m:r>
          </m:e>
          <m:sub>
            <m:r>
              <m:rPr>
                <m:sty m:val="p"/>
              </m:rPr>
              <m:t>p</m:t>
            </m:r>
            <m:r>
              <m:rPr>
                <m:sty m:val="p"/>
              </m:rPr>
              <m:t>r</m:t>
            </m:r>
            <m:r>
              <m:rPr>
                <m:sty m:val="p"/>
              </m:rPr>
              <m:t>e</m:t>
            </m:r>
          </m:sub>
        </m:sSub>
      </m:oMath>
      <w:r>
        <w:t xml:space="preserve"> </w:t>
      </w:r>
      <w:r>
        <w:t xml:space="preserve">and the finite operator</w:t>
      </w:r>
      <w:r>
        <w:t xml:space="preserve"> </w:t>
      </w:r>
      <m:oMath>
        <m:sSub>
          <m:e>
            <m:r>
              <m:rPr>
                <m:sty m:val="p"/>
              </m:rPr>
              <m:t>ℵ</m:t>
            </m:r>
          </m:e>
          <m:sub>
            <m:r>
              <m:t>0</m:t>
            </m:r>
          </m:sub>
        </m:sSub>
      </m:oMath>
      <w:r>
        <w:t xml:space="preserve"> </w:t>
      </w:r>
      <w:r>
        <w:t xml:space="preserve">have different mathematical types; a map between them must be specified rather than inferred from their names.</w:t>
      </w:r>
    </w:p>
    <w:p>
      <w:pPr>
        <w:pStyle w:val="BodyText"/>
      </w:pPr>
      <w:r>
        <w:t xml:space="preserve">The later BFG source [3] declares the triple</w:t>
      </w:r>
      <w:r>
        <w:t xml:space="preserve"> </w:t>
      </w:r>
      <m:oMath>
        <m:d>
          <m:dPr>
            <m:begChr m:val="("/>
            <m:endChr m:val=")"/>
            <m:sepChr m:val=""/>
            <m:grow/>
          </m:dPr>
          <m:e>
            <m:sSub>
              <m:e>
                <m:r>
                  <m:rPr>
                    <m:sty m:val="p"/>
                    <m:scr m:val="fraktur"/>
                  </m:rPr>
                  <m:t>D</m:t>
                </m:r>
              </m:e>
              <m:sub>
                <m:r>
                  <m:t>0</m:t>
                </m:r>
              </m:sub>
            </m:sSub>
            <m:r>
              <m:rPr>
                <m:sty m:val="p"/>
              </m:rPr>
              <m:t>,</m:t>
            </m:r>
            <m:sSub>
              <m:e>
                <m:r>
                  <m:rPr>
                    <m:sty m:val="p"/>
                    <m:scr m:val="fraktur"/>
                  </m:rPr>
                  <m:t>c</m:t>
                </m:r>
              </m:e>
              <m:sub>
                <m:r>
                  <m:t>0</m:t>
                </m:r>
              </m:sub>
            </m:sSub>
            <m:r>
              <m:rPr>
                <m:sty m:val="p"/>
              </m:rPr>
              <m:t>,</m:t>
            </m:r>
            <m:sSub>
              <m:e>
                <m:r>
                  <m:rPr>
                    <m:sty m:val="p"/>
                  </m:rPr>
                  <m:t>ℵ</m:t>
                </m:r>
              </m:e>
              <m:sub>
                <m:r>
                  <m:t>0</m:t>
                </m:r>
              </m:sub>
            </m:sSub>
          </m:e>
        </m:d>
      </m:oMath>
      <w:r>
        <w:t xml:space="preserve"> </w:t>
      </w:r>
      <w:r>
        <w:t xml:space="preserve">and a formation equation in its Section 3.1, then a quadratic neutral completion with a supplied channel</w:t>
      </w:r>
      <w:r>
        <w:t xml:space="preserve"> </w:t>
      </w:r>
      <m:oMath>
        <m:r>
          <m:t>A</m:t>
        </m:r>
      </m:oMath>
      <w:r>
        <w:t xml:space="preserve"> </w:t>
      </w:r>
      <w:r>
        <w:t xml:space="preserve">in Section 3.2. This paper completes a selected</w:t>
      </w:r>
      <w:r>
        <w:t xml:space="preserve"> </w:t>
      </w:r>
      <w:r>
        <w:rPr>
          <w:iCs/>
          <w:i/>
        </w:rPr>
        <w:t xml:space="preserve">finite tangent sector</w:t>
      </w:r>
      <w:r>
        <w:t xml:space="preserve"> </w:t>
      </w:r>
      <w:r>
        <w:t xml:space="preserve">by an explicit rule connecting these stages. Its logical direction is</w:t>
      </w:r>
    </w:p>
    <w:p>
      <w:pPr>
        <w:pStyle w:val="Equation"/>
        <w:keepLines/>
      </w:pPr>
      <m:oMathPara>
        <m:oMathParaPr>
          <m:jc m:val="center"/>
        </m:oMathParaPr>
        <m:oMath>
          <m:sSub>
            <m:e>
              <m:r>
                <m:t>N</m:t>
              </m:r>
            </m:e>
            <m:sub>
              <m:r>
                <m:rPr>
                  <m:sty m:val="p"/>
                </m:rPr>
                <m:t>p</m:t>
              </m:r>
              <m:r>
                <m:rPr>
                  <m:sty m:val="p"/>
                </m:rPr>
                <m:t>r</m:t>
              </m:r>
              <m:r>
                <m:rPr>
                  <m:sty m:val="p"/>
                </m:rPr>
                <m:t>e</m:t>
              </m:r>
            </m:sub>
          </m:sSub>
          <m:r>
            <m:rPr>
              <m:sty m:val="p"/>
            </m:rPr>
            <m:t>→</m:t>
          </m:r>
          <m:r>
            <m:t>Δ</m:t>
          </m:r>
          <m:sSub>
            <m:e>
              <m:r>
                <m:t>N</m:t>
              </m:r>
            </m:e>
            <m:sub>
              <m:r>
                <m:t>0</m:t>
              </m:r>
            </m:sub>
          </m:sSub>
          <m:r>
            <m:rPr>
              <m:sty m:val="p"/>
            </m:rPr>
            <m:t>→</m:t>
          </m:r>
          <m:d>
            <m:dPr>
              <m:begChr m:val="("/>
              <m:endChr m:val=")"/>
              <m:sepChr m:val=""/>
              <m:grow/>
            </m:dPr>
            <m:e>
              <m:sSub>
                <m:e>
                  <m:r>
                    <m:rPr>
                      <m:sty m:val="p"/>
                      <m:scr m:val="fraktur"/>
                    </m:rPr>
                    <m:t>D</m:t>
                  </m:r>
                </m:e>
                <m:sub>
                  <m:r>
                    <m:t>0</m:t>
                  </m:r>
                </m:sub>
              </m:sSub>
              <m:r>
                <m:rPr>
                  <m:sty m:val="p"/>
                </m:rPr>
                <m:t>,</m:t>
              </m:r>
              <m:sSub>
                <m:e>
                  <m:r>
                    <m:rPr>
                      <m:sty m:val="p"/>
                      <m:scr m:val="fraktur"/>
                    </m:rPr>
                    <m:t>c</m:t>
                  </m:r>
                </m:e>
                <m:sub>
                  <m:r>
                    <m:t>0</m:t>
                  </m:r>
                </m:sub>
              </m:sSub>
              <m:r>
                <m:rPr>
                  <m:sty m:val="p"/>
                </m:rPr>
                <m:t>,</m:t>
              </m:r>
              <m:sSub>
                <m:e>
                  <m:r>
                    <m:rPr>
                      <m:sty m:val="p"/>
                    </m:rPr>
                    <m:t>ℵ</m:t>
                  </m:r>
                </m:e>
                <m:sub>
                  <m:r>
                    <m:t>0</m:t>
                  </m:r>
                </m:sub>
              </m:sSub>
              <m:r>
                <m:rPr>
                  <m:sty m:val="p"/>
                </m:rPr>
                <m:t>;</m:t>
              </m:r>
              <m:sSub>
                <m:e>
                  <m:r>
                    <m:t>F</m:t>
                  </m:r>
                </m:e>
                <m:sub>
                  <m:r>
                    <m:t>0</m:t>
                  </m:r>
                </m:sub>
              </m:sSub>
            </m:e>
          </m:d>
          <m:r>
            <m:rPr>
              <m:sty m:val="p"/>
            </m:rPr>
            <m:t>→</m:t>
          </m:r>
          <m:d>
            <m:dPr>
              <m:begChr m:val="("/>
              <m:endChr m:val=")"/>
              <m:sepChr m:val=""/>
              <m:grow/>
            </m:dPr>
            <m:e>
              <m:r>
                <m:t>A</m:t>
              </m:r>
              <m:r>
                <m:rPr>
                  <m:sty m:val="p"/>
                </m:rPr>
                <m:t>,</m:t>
              </m:r>
              <m:r>
                <m:t>Y</m:t>
              </m:r>
              <m:r>
                <m:rPr>
                  <m:sty m:val="p"/>
                </m:rPr>
                <m:t>,</m:t>
              </m:r>
              <m:sSub>
                <m:e>
                  <m:r>
                    <m:t>C</m:t>
                  </m:r>
                </m:e>
                <m:sub>
                  <m:r>
                    <m:t>N</m:t>
                  </m:r>
                </m:sub>
              </m:sSub>
              <m:r>
                <m:rPr>
                  <m:sty m:val="p"/>
                </m:rPr>
                <m:t>,</m:t>
              </m:r>
              <m:sSub>
                <m:e>
                  <m:r>
                    <m:t>B</m:t>
                  </m:r>
                </m:e>
                <m:sub>
                  <m:r>
                    <m:t>N</m:t>
                  </m:r>
                </m:sub>
              </m:sSub>
            </m:e>
          </m:d>
          <m:r>
            <m:rPr>
              <m:sty m:val="p"/>
            </m:rPr>
            <m:t>→</m:t>
          </m:r>
          <m:sSub>
            <m:e>
              <m:r>
                <m:t>Ξ</m:t>
              </m:r>
            </m:e>
            <m:sub>
              <m:r>
                <m:rPr>
                  <m:sty m:val="p"/>
                </m:rPr>
                <m:t>+</m:t>
              </m:r>
            </m:sub>
          </m:sSub>
          <m:r>
            <m:rPr>
              <m:sty m:val="p"/>
            </m:rPr>
            <m:t>.</m:t>
          </m:r>
        </m:oMath>
      </m:oMathPara>
      <w:r>
        <w:rPr>
          <w:rFonts w:ascii="Cambria" w:hAnsi="Cambria"/>
          <w:sz w:val="18"/>
        </w:rPr>
        <w:tab/>
        <w:t>(1)</w:t>
      </w:r>
    </w:p>
    <w:p>
      <w:pPr>
        <w:pStyle w:val="FirstParagraph"/>
      </w:pPr>
      <w:r>
        <w:t xml:space="preserve">The three later arrows denote representation, a new tangent rule, and finite successor rules respectively. They are specifications, not theorems from the preceding noun alone. Every theorem below records its premises. Established matrix analysis supplies the spectral and positivity methods used here [8,9]; these references do not independently verify the proposed BFG source law.</w:t>
      </w:r>
    </w:p>
    <w:bookmarkEnd w:id="21"/>
    <w:bookmarkStart w:id="22" w:name="the-formed-level-0-metric"/>
    <w:p>
      <w:pPr>
        <w:pStyle w:val="Heading1"/>
      </w:pPr>
      <w:r>
        <w:rPr>
          <w:rStyle w:val="SectionNumber"/>
        </w:rPr>
        <w:t xml:space="preserve">2</w:t>
      </w:r>
      <w:r>
        <w:tab/>
      </w:r>
      <w:r>
        <w:t xml:space="preserve">The formed Level-0 metric</w:t>
      </w:r>
    </w:p>
    <w:p>
      <w:pPr>
        <w:pStyle w:val="FirstParagraph"/>
      </w:pPr>
      <w:r>
        <w:t xml:space="preserve">Let</w:t>
      </w:r>
      <w:r>
        <w:t xml:space="preserve"> </w:t>
      </w:r>
      <m:oMath>
        <m:sSub>
          <m:e>
            <m:r>
              <m:t>V</m:t>
            </m:r>
          </m:e>
          <m:sub>
            <m:r>
              <m:t>0</m:t>
            </m:r>
          </m:sub>
        </m:sSub>
      </m:oMath>
      <w:r>
        <w:t xml:space="preserve"> </w:t>
      </w:r>
      <w:r>
        <w:t xml:space="preserve">be a nonzero finite-dimensional real Hilbert space. For this extension, assume the operator representatives</w:t>
      </w:r>
      <w:r>
        <w:t xml:space="preserve"> </w:t>
      </w:r>
      <m:oMath>
        <m:sSub>
          <m:e>
            <m:r>
              <m:rPr>
                <m:sty m:val="p"/>
                <m:scr m:val="fraktur"/>
              </m:rPr>
              <m:t>D</m:t>
            </m:r>
          </m:e>
          <m:sub>
            <m:r>
              <m:t>0</m:t>
            </m:r>
          </m:sub>
        </m:sSub>
        <m:r>
          <m:rPr>
            <m:sty m:val="p"/>
          </m:rPr>
          <m:t>,</m:t>
        </m:r>
        <m:sSub>
          <m:e>
            <m:r>
              <m:rPr>
                <m:sty m:val="p"/>
                <m:scr m:val="fraktur"/>
              </m:rPr>
              <m:t>c</m:t>
            </m:r>
          </m:e>
          <m:sub>
            <m:r>
              <m:t>0</m:t>
            </m:r>
          </m:sub>
        </m:sSub>
        <m:r>
          <m:rPr>
            <m:sty m:val="p"/>
          </m:rPr>
          <m:t>,</m:t>
        </m:r>
        <m:sSub>
          <m:e>
            <m:r>
              <m:rPr>
                <m:sty m:val="p"/>
              </m:rPr>
              <m:t>ℵ</m:t>
            </m:r>
          </m:e>
          <m:sub>
            <m:r>
              <m:t>0</m:t>
            </m:r>
          </m:sub>
        </m:sSub>
      </m:oMath>
      <w:r>
        <w:t xml:space="preserve"> </w:t>
      </w:r>
      <w:r>
        <w:t xml:space="preserve">are self-adjoint in its fixed inner product; the examples below use positive semidefinite capacities. Put</w:t>
      </w:r>
    </w:p>
    <w:p>
      <w:pPr>
        <w:pStyle w:val="Equation"/>
        <w:keepLines/>
      </w:pPr>
      <m:oMathPara>
        <m:oMathParaPr>
          <m:jc m:val="center"/>
        </m:oMathParaPr>
        <m:oMath>
          <m:sSub>
            <m:e>
              <m:r>
                <m:t>K</m:t>
              </m:r>
            </m:e>
            <m:sub>
              <m:r>
                <m:t>0</m:t>
              </m:r>
            </m:sub>
          </m:sSub>
          <m:r>
            <m:rPr>
              <m:sty m:val="p"/>
            </m:rPr>
            <m:t>=</m:t>
          </m:r>
          <m:sSub>
            <m:e>
              <m:r>
                <m:rPr>
                  <m:sty m:val="p"/>
                  <m:scr m:val="fraktur"/>
                </m:rPr>
                <m:t>c</m:t>
              </m:r>
            </m:e>
            <m:sub>
              <m:r>
                <m:t>0</m:t>
              </m:r>
            </m:sub>
          </m:sSub>
          <m:r>
            <m:rPr>
              <m:sty m:val="p"/>
            </m:rPr>
            <m:t>+</m:t>
          </m:r>
          <m:sSub>
            <m:e>
              <m:r>
                <m:rPr>
                  <m:sty m:val="p"/>
                </m:rPr>
                <m:t>ℵ</m:t>
              </m:r>
            </m:e>
            <m:sub>
              <m:r>
                <m:t>0</m:t>
              </m:r>
            </m:sub>
          </m:sSub>
          <m:r>
            <m:rPr>
              <m:sty m:val="p"/>
            </m:rPr>
            <m:t>−</m:t>
          </m:r>
          <m:sSub>
            <m:e>
              <m:r>
                <m:rPr>
                  <m:sty m:val="p"/>
                  <m:scr m:val="fraktur"/>
                </m:rPr>
                <m:t>D</m:t>
              </m:r>
            </m:e>
            <m:sub>
              <m:r>
                <m:t>0</m:t>
              </m:r>
            </m:sub>
          </m:sSub>
          <m:r>
            <m:rPr>
              <m:sty m:val="p"/>
            </m:rPr>
            <m:t>,</m:t>
          </m:r>
          <m:r>
            <m:t>  </m:t>
          </m:r>
          <m:sSub>
            <m:e>
              <m:r>
                <m:t>F</m:t>
              </m:r>
            </m:e>
            <m:sub>
              <m:r>
                <m:t>0</m:t>
              </m:r>
            </m:sub>
          </m:sSub>
          <m:d>
            <m:dPr>
              <m:begChr m:val="("/>
              <m:endChr m:val=")"/>
              <m:sepChr m:val=""/>
              <m:grow/>
            </m:dPr>
            <m:e>
              <m:r>
                <m:t>δ</m:t>
              </m:r>
            </m:e>
          </m:d>
          <m:r>
            <m:rPr>
              <m:sty m:val="p"/>
            </m:rPr>
            <m:t>=</m:t>
          </m:r>
          <m:f>
            <m:fPr>
              <m:type m:val="bar"/>
            </m:fPr>
            <m:num>
              <m:r>
                <m:t>1</m:t>
              </m:r>
            </m:num>
            <m:den>
              <m:r>
                <m:t>2</m:t>
              </m:r>
            </m:den>
          </m:f>
          <m:r>
            <m:rPr>
              <m:sty m:val="p"/>
            </m:rPr>
            <m:t>⟨</m:t>
          </m:r>
          <m:r>
            <m:t>δ</m:t>
          </m:r>
          <m:r>
            <m:rPr>
              <m:sty m:val="p"/>
            </m:rPr>
            <m:t>,</m:t>
          </m:r>
          <m:sSub>
            <m:e>
              <m:r>
                <m:t>K</m:t>
              </m:r>
            </m:e>
            <m:sub>
              <m:r>
                <m:t>0</m:t>
              </m:r>
            </m:sub>
          </m:sSub>
          <m:r>
            <m:t>δ</m:t>
          </m:r>
          <m:r>
            <m:rPr>
              <m:sty m:val="p"/>
            </m:rPr>
            <m:t>⟩</m:t>
          </m:r>
          <m:r>
            <m:rPr>
              <m:sty m:val="p"/>
            </m:rPr>
            <m:t>+</m:t>
          </m:r>
          <m:f>
            <m:fPr>
              <m:type m:val="bar"/>
            </m:fPr>
            <m:num>
              <m:r>
                <m:t>1</m:t>
              </m:r>
            </m:num>
            <m:den>
              <m:r>
                <m:t>4</m:t>
              </m:r>
            </m:den>
          </m:f>
          <m:r>
            <m:rPr>
              <m:sty m:val="p"/>
            </m:rPr>
            <m:t>∥</m:t>
          </m:r>
          <m:r>
            <m:t>δ</m:t>
          </m:r>
          <m:sSup>
            <m:e>
              <m:r>
                <m:rPr>
                  <m:sty m:val="p"/>
                </m:rPr>
                <m:t>∥</m:t>
              </m:r>
            </m:e>
            <m:sup>
              <m:r>
                <m:t>4</m:t>
              </m:r>
            </m:sup>
          </m:sSup>
          <m:r>
            <m:rPr>
              <m:sty m:val="p"/>
            </m:rPr>
            <m:t>.</m:t>
          </m:r>
        </m:oMath>
      </m:oMathPara>
      <w:r>
        <w:rPr>
          <w:rFonts w:ascii="Cambria" w:hAnsi="Cambria"/>
          <w:sz w:val="18"/>
        </w:rPr>
        <w:tab/>
        <w:t>(2)</w:t>
      </w:r>
    </w:p>
    <w:p>
      <w:pPr>
        <w:pStyle w:val="FirstParagraph"/>
      </w:pPr>
      <w:r>
        <w:t xml:space="preserve">Assume the least eigenvalue</w:t>
      </w:r>
      <w:r>
        <w:t xml:space="preserve"> </w:t>
      </w:r>
      <m:oMath>
        <m:sSub>
          <m:e>
            <m:r>
              <m:t>λ</m:t>
            </m:r>
          </m:e>
          <m:sub>
            <m:r>
              <m:t>0</m:t>
            </m:r>
          </m:sub>
        </m:sSub>
        <m:r>
          <m:rPr>
            <m:sty m:val="p"/>
          </m:rPr>
          <m:t>&lt;</m:t>
        </m:r>
        <m:r>
          <m:t>0</m:t>
        </m:r>
      </m:oMath>
      <w:r>
        <w:t xml:space="preserve"> </w:t>
      </w:r>
      <w:r>
        <w:t xml:space="preserve">of</w:t>
      </w:r>
      <w:r>
        <w:t xml:space="preserve"> </w:t>
      </w:r>
      <m:oMath>
        <m:sSub>
          <m:e>
            <m:r>
              <m:t>K</m:t>
            </m:r>
          </m:e>
          <m:sub>
            <m:r>
              <m:t>0</m:t>
            </m:r>
          </m:sub>
        </m:sSub>
      </m:oMath>
      <w:r>
        <w:t xml:space="preserve"> </w:t>
      </w:r>
      <w:r>
        <w:t xml:space="preserve">is simple, with unit eigenvector</w:t>
      </w:r>
      <w:r>
        <w:t xml:space="preserve"> </w:t>
      </w:r>
      <m:oMath>
        <m:sSub>
          <m:e>
            <m:r>
              <m:t>e</m:t>
            </m:r>
          </m:e>
          <m:sub>
            <m:r>
              <m:t>0</m:t>
            </m:r>
          </m:sub>
        </m:sSub>
      </m:oMath>
      <w:r>
        <w:t xml:space="preserve"> </w:t>
      </w:r>
      <w:r>
        <w:t xml:space="preserve">and a positive gap above it.</w:t>
      </w:r>
      <w:r>
        <w:t xml:space="preserve"> </w:t>
      </w:r>
      <w:r>
        <w:rPr>
          <w:bCs/>
          <w:b/>
        </w:rPr>
        <w:t xml:space="preserve">Lemma 2.1 (Formation and tangent metric).</w:t>
      </w:r>
      <w:r>
        <w:t xml:space="preserve"> </w:t>
      </w:r>
      <w:r>
        <w:t xml:space="preserve">The two global minima are</w:t>
      </w:r>
      <w:r>
        <w:t xml:space="preserve"> </w:t>
      </w:r>
      <m:oMath>
        <m:sSub>
          <m:e>
            <m:r>
              <m:t>δ</m:t>
            </m:r>
          </m:e>
          <m:sub>
            <m:r>
              <m:rPr>
                <m:sty m:val="p"/>
              </m:rPr>
              <m:t>±</m:t>
            </m:r>
          </m:sub>
        </m:sSub>
        <m:r>
          <m:rPr>
            <m:sty m:val="p"/>
          </m:rPr>
          <m:t>=</m:t>
        </m:r>
        <m:r>
          <m:rPr>
            <m:sty m:val="p"/>
          </m:rPr>
          <m:t>±</m:t>
        </m:r>
        <m:rad>
          <m:radPr>
            <m:degHide m:val="on"/>
          </m:radPr>
          <m:deg/>
          <m:e>
            <m:r>
              <m:rPr>
                <m:sty m:val="p"/>
              </m:rPr>
              <m:t>−</m:t>
            </m:r>
            <m:sSub>
              <m:e>
                <m:r>
                  <m:t>λ</m:t>
                </m:r>
              </m:e>
              <m:sub>
                <m:r>
                  <m:t>0</m:t>
                </m:r>
              </m:sub>
            </m:sSub>
          </m:e>
        </m:rad>
        <m:sSub>
          <m:e>
            <m:r>
              <m:t>e</m:t>
            </m:r>
          </m:e>
          <m:sub>
            <m:r>
              <m:t>0</m:t>
            </m:r>
          </m:sub>
        </m:sSub>
      </m:oMath>
      <w:r>
        <w:t xml:space="preserve">. At either minimum,</w:t>
      </w:r>
    </w:p>
    <w:p>
      <w:pPr>
        <w:pStyle w:val="Equation"/>
        <w:keepLines/>
      </w:pPr>
      <m:oMathPara>
        <m:oMathParaPr>
          <m:jc m:val="center"/>
        </m:oMathParaPr>
        <m:oMath>
          <m:sSub>
            <m:e>
              <m:r>
                <m:t>H</m:t>
              </m:r>
            </m:e>
            <m:sub>
              <m:r>
                <m:rPr>
                  <m:sty m:val="p"/>
                </m:rPr>
                <m:t>*</m:t>
              </m:r>
            </m:sub>
          </m:sSub>
          <m:r>
            <m:rPr>
              <m:sty m:val="p"/>
            </m:rPr>
            <m:t>=</m:t>
          </m:r>
          <m:sSup>
            <m:e>
              <m:r>
                <m:t>D</m:t>
              </m:r>
            </m:e>
            <m:sup>
              <m:r>
                <m:t>2</m:t>
              </m:r>
            </m:sup>
          </m:sSup>
          <m:sSub>
            <m:e>
              <m:r>
                <m:t>F</m:t>
              </m:r>
            </m:e>
            <m:sub>
              <m:r>
                <m:t>0</m:t>
              </m:r>
            </m:sub>
          </m:sSub>
          <m:d>
            <m:dPr>
              <m:begChr m:val="("/>
              <m:endChr m:val=")"/>
              <m:sepChr m:val=""/>
              <m:grow/>
            </m:dPr>
            <m:e>
              <m:sSub>
                <m:e>
                  <m:r>
                    <m:t>δ</m:t>
                  </m:r>
                </m:e>
                <m:sub>
                  <m:r>
                    <m:rPr>
                      <m:sty m:val="p"/>
                    </m:rPr>
                    <m:t>±</m:t>
                  </m:r>
                </m:sub>
              </m:sSub>
            </m:e>
          </m:d>
          <m:r>
            <m:rPr>
              <m:sty m:val="p"/>
            </m:rPr>
            <m:t>=</m:t>
          </m:r>
          <m:sSub>
            <m:e>
              <m:r>
                <m:t>K</m:t>
              </m:r>
            </m:e>
            <m:sub>
              <m:r>
                <m:t>0</m:t>
              </m:r>
            </m:sub>
          </m:sSub>
          <m:r>
            <m:rPr>
              <m:sty m:val="p"/>
            </m:rPr>
            <m:t>−</m:t>
          </m:r>
          <m:sSub>
            <m:e>
              <m:r>
                <m:t>λ</m:t>
              </m:r>
            </m:e>
            <m:sub>
              <m:r>
                <m:t>0</m:t>
              </m:r>
            </m:sub>
          </m:sSub>
          <m:r>
            <m:t>I</m:t>
          </m:r>
          <m:r>
            <m:rPr>
              <m:sty m:val="p"/>
            </m:rPr>
            <m:t>−</m:t>
          </m:r>
          <m:r>
            <m:t>2</m:t>
          </m:r>
          <m:sSub>
            <m:e>
              <m:r>
                <m:t>λ</m:t>
              </m:r>
            </m:e>
            <m:sub>
              <m:r>
                <m:t>0</m:t>
              </m:r>
            </m:sub>
          </m:sSub>
          <m:sSub>
            <m:e>
              <m:r>
                <m:t>e</m:t>
              </m:r>
            </m:e>
            <m:sub>
              <m:r>
                <m:t>0</m:t>
              </m:r>
            </m:sub>
          </m:sSub>
          <m:sSubSup>
            <m:e>
              <m:r>
                <m:t>e</m:t>
              </m:r>
            </m:e>
            <m:sub>
              <m:r>
                <m:t>0</m:t>
              </m:r>
            </m:sub>
            <m:sup>
              <m:r>
                <m:t>​</m:t>
              </m:r>
              <m:r>
                <m:rPr>
                  <m:sty m:val="p"/>
                </m:rPr>
                <m:t>*</m:t>
              </m:r>
            </m:sup>
          </m:sSubSup>
          <m:r>
            <m:rPr>
              <m:sty m:val="p"/>
            </m:rPr>
            <m:t>&gt;</m:t>
          </m:r>
          <m:r>
            <m:t>0</m:t>
          </m:r>
          <m:r>
            <m:rPr>
              <m:sty m:val="p"/>
            </m:rPr>
            <m:t>.</m:t>
          </m:r>
        </m:oMath>
      </m:oMathPara>
      <w:r>
        <w:rPr>
          <w:rFonts w:ascii="Cambria" w:hAnsi="Cambria"/>
          <w:sz w:val="18"/>
        </w:rPr>
        <w:tab/>
        <w:t>(3)</w:t>
      </w:r>
    </w:p>
    <w:p>
      <w:pPr>
        <w:pStyle w:val="FirstParagraph"/>
      </w:pPr>
      <w:r>
        <w:rPr>
          <w:iCs/>
          <w:i/>
        </w:rPr>
        <w:t xml:space="preserve">Proof.</w:t>
      </w:r>
      <w:r>
        <w:t xml:space="preserve"> </w:t>
      </w:r>
      <w:r>
        <w:t xml:space="preserve">For</w:t>
      </w:r>
      <w:r>
        <w:t xml:space="preserve"> </w:t>
      </w:r>
      <m:oMath>
        <m:r>
          <m:t>r</m:t>
        </m:r>
        <m:r>
          <m:rPr>
            <m:sty m:val="p"/>
          </m:rPr>
          <m:t>=</m:t>
        </m:r>
        <m:r>
          <m:rPr>
            <m:sty m:val="p"/>
          </m:rPr>
          <m:t>∥</m:t>
        </m:r>
        <m:r>
          <m:t>δ</m:t>
        </m:r>
        <m:r>
          <m:rPr>
            <m:sty m:val="p"/>
          </m:rPr>
          <m:t>∥</m:t>
        </m:r>
      </m:oMath>
      <w:r>
        <w:t xml:space="preserve">, the Rayleigh bound gives</w:t>
      </w:r>
      <w:r>
        <w:t xml:space="preserve"> </w:t>
      </w:r>
      <m:oMath>
        <m:sSub>
          <m:e>
            <m:r>
              <m:t>F</m:t>
            </m:r>
          </m:e>
          <m:sub>
            <m:r>
              <m:t>0</m:t>
            </m:r>
          </m:sub>
        </m:sSub>
        <m:d>
          <m:dPr>
            <m:begChr m:val="("/>
            <m:endChr m:val=")"/>
            <m:sepChr m:val=""/>
            <m:grow/>
          </m:dPr>
          <m:e>
            <m:r>
              <m:t>δ</m:t>
            </m:r>
          </m:e>
        </m:d>
        <m:r>
          <m:rPr>
            <m:sty m:val="p"/>
          </m:rPr>
          <m:t>≥</m:t>
        </m:r>
        <m:sSub>
          <m:e>
            <m:r>
              <m:t>λ</m:t>
            </m:r>
          </m:e>
          <m:sub>
            <m:r>
              <m:t>0</m:t>
            </m:r>
          </m:sub>
        </m:sSub>
        <m:sSup>
          <m:e>
            <m:r>
              <m:t>r</m:t>
            </m:r>
          </m:e>
          <m:sup>
            <m:r>
              <m:t>2</m:t>
            </m:r>
          </m:sup>
        </m:sSup>
        <m:r>
          <m:rPr>
            <m:sty m:val="p"/>
          </m:rPr>
          <m:t>/</m:t>
        </m:r>
        <m:r>
          <m:t>2</m:t>
        </m:r>
        <m:r>
          <m:rPr>
            <m:sty m:val="p"/>
          </m:rPr>
          <m:t>+</m:t>
        </m:r>
        <m:sSup>
          <m:e>
            <m:r>
              <m:t>r</m:t>
            </m:r>
          </m:e>
          <m:sup>
            <m:r>
              <m:t>4</m:t>
            </m:r>
          </m:sup>
        </m:sSup>
        <m:r>
          <m:rPr>
            <m:sty m:val="p"/>
          </m:rPr>
          <m:t>/</m:t>
        </m:r>
        <m:r>
          <m:t>4</m:t>
        </m:r>
      </m:oMath>
      <w:r>
        <w:t xml:space="preserve">, with equality for</w:t>
      </w:r>
      <w:r>
        <w:t xml:space="preserve"> </w:t>
      </w:r>
      <m:oMath>
        <m:r>
          <m:t>δ</m:t>
        </m:r>
      </m:oMath>
      <w:r>
        <w:t xml:space="preserve"> </w:t>
      </w:r>
      <w:r>
        <w:t xml:space="preserve">in the ground eigenspace. The radial minimum has</w:t>
      </w:r>
      <w:r>
        <w:t xml:space="preserve"> </w:t>
      </w:r>
      <m:oMath>
        <m:sSup>
          <m:e>
            <m:r>
              <m:t>r</m:t>
            </m:r>
          </m:e>
          <m:sup>
            <m:r>
              <m:t>2</m:t>
            </m:r>
          </m:sup>
        </m:sSup>
        <m:r>
          <m:rPr>
            <m:sty m:val="p"/>
          </m:rPr>
          <m:t>=</m:t>
        </m:r>
        <m:r>
          <m:rPr>
            <m:sty m:val="p"/>
          </m:rPr>
          <m:t>−</m:t>
        </m:r>
        <m:sSub>
          <m:e>
            <m:r>
              <m:t>λ</m:t>
            </m:r>
          </m:e>
          <m:sub>
            <m:r>
              <m:t>0</m:t>
            </m:r>
          </m:sub>
        </m:sSub>
      </m:oMath>
      <w:r>
        <w:t xml:space="preserve">. Differentiating yields</w:t>
      </w:r>
      <w:r>
        <w:t xml:space="preserve"> </w:t>
      </w:r>
      <m:oMath>
        <m:sSup>
          <m:e>
            <m:r>
              <m:t>D</m:t>
            </m:r>
          </m:e>
          <m:sup>
            <m:r>
              <m:t>2</m:t>
            </m:r>
          </m:sup>
        </m:sSup>
        <m:sSub>
          <m:e>
            <m:r>
              <m:t>F</m:t>
            </m:r>
          </m:e>
          <m:sub>
            <m:r>
              <m:t>0</m:t>
            </m:r>
          </m:sub>
        </m:sSub>
        <m:d>
          <m:dPr>
            <m:begChr m:val="("/>
            <m:endChr m:val=")"/>
            <m:sepChr m:val=""/>
            <m:grow/>
          </m:dPr>
          <m:e>
            <m:r>
              <m:t>δ</m:t>
            </m:r>
          </m:e>
        </m:d>
        <m:r>
          <m:rPr>
            <m:sty m:val="p"/>
          </m:rPr>
          <m:t>=</m:t>
        </m:r>
        <m:sSub>
          <m:e>
            <m:r>
              <m:t>K</m:t>
            </m:r>
          </m:e>
          <m:sub>
            <m:r>
              <m:t>0</m:t>
            </m:r>
          </m:sub>
        </m:sSub>
        <m:r>
          <m:rPr>
            <m:sty m:val="p"/>
          </m:rPr>
          <m:t>+</m:t>
        </m:r>
        <m:r>
          <m:rPr>
            <m:sty m:val="p"/>
          </m:rPr>
          <m:t>∥</m:t>
        </m:r>
        <m:r>
          <m:t>δ</m:t>
        </m:r>
        <m:sSup>
          <m:e>
            <m:r>
              <m:rPr>
                <m:sty m:val="p"/>
              </m:rPr>
              <m:t>∥</m:t>
            </m:r>
          </m:e>
          <m:sup>
            <m:r>
              <m:t>2</m:t>
            </m:r>
          </m:sup>
        </m:sSup>
        <m:r>
          <m:t>I</m:t>
        </m:r>
        <m:r>
          <m:rPr>
            <m:sty m:val="p"/>
          </m:rPr>
          <m:t>+</m:t>
        </m:r>
        <m:r>
          <m:t>2</m:t>
        </m:r>
        <m:r>
          <m:t>δ</m:t>
        </m:r>
        <m:sSup>
          <m:e>
            <m:r>
              <m:t>δ</m:t>
            </m:r>
          </m:e>
          <m:sup>
            <m:r>
              <m:t>​</m:t>
            </m:r>
            <m:r>
              <m:rPr>
                <m:sty m:val="p"/>
              </m:rPr>
              <m:t>*</m:t>
            </m:r>
          </m:sup>
        </m:sSup>
      </m:oMath>
      <w:r>
        <w:t xml:space="preserve">. On</w:t>
      </w:r>
      <w:r>
        <w:t xml:space="preserve"> </w:t>
      </w:r>
      <m:oMath>
        <m:sSub>
          <m:e>
            <m:r>
              <m:t>e</m:t>
            </m:r>
          </m:e>
          <m:sub>
            <m:r>
              <m:t>0</m:t>
            </m:r>
          </m:sub>
        </m:sSub>
      </m:oMath>
      <w:r>
        <w:t xml:space="preserve"> </w:t>
      </w:r>
      <w:r>
        <w:t xml:space="preserve">the eigenvalue of (3) is</w:t>
      </w:r>
      <w:r>
        <w:t xml:space="preserve"> </w:t>
      </w:r>
      <m:oMath>
        <m:r>
          <m:rPr>
            <m:sty m:val="p"/>
          </m:rPr>
          <m:t>−</m:t>
        </m:r>
        <m:r>
          <m:t>2</m:t>
        </m:r>
        <m:sSub>
          <m:e>
            <m:r>
              <m:t>λ</m:t>
            </m:r>
          </m:e>
          <m:sub>
            <m:r>
              <m:t>0</m:t>
            </m:r>
          </m:sub>
        </m:sSub>
        <m:r>
          <m:rPr>
            <m:sty m:val="p"/>
          </m:rPr>
          <m:t>&gt;</m:t>
        </m:r>
        <m:r>
          <m:t>0</m:t>
        </m:r>
      </m:oMath>
      <w:r>
        <w:t xml:space="preserve">; on each orthogonal eigenmode</w:t>
      </w:r>
      <w:r>
        <w:t xml:space="preserve"> </w:t>
      </w:r>
      <m:oMath>
        <m:sSub>
          <m:e>
            <m:r>
              <m:t>e</m:t>
            </m:r>
          </m:e>
          <m:sub>
            <m:r>
              <m:t>j</m:t>
            </m:r>
          </m:sub>
        </m:sSub>
      </m:oMath>
      <w:r>
        <w:t xml:space="preserve"> </w:t>
      </w:r>
      <w:r>
        <w:t xml:space="preserve">it is</w:t>
      </w:r>
      <w:r>
        <w:t xml:space="preserve"> </w:t>
      </w:r>
      <m:oMath>
        <m:sSub>
          <m:e>
            <m:r>
              <m:t>λ</m:t>
            </m:r>
          </m:e>
          <m:sub>
            <m:r>
              <m:t>j</m:t>
            </m:r>
          </m:sub>
        </m:sSub>
        <m:r>
          <m:rPr>
            <m:sty m:val="p"/>
          </m:rPr>
          <m:t>−</m:t>
        </m:r>
        <m:sSub>
          <m:e>
            <m:r>
              <m:t>λ</m:t>
            </m:r>
          </m:e>
          <m:sub>
            <m:r>
              <m:t>0</m:t>
            </m:r>
          </m:sub>
        </m:sSub>
        <m:r>
          <m:rPr>
            <m:sty m:val="p"/>
          </m:rPr>
          <m:t>&gt;</m:t>
        </m:r>
        <m:r>
          <m:t>0</m:t>
        </m:r>
      </m:oMath>
      <w:r>
        <w:t xml:space="preserve">.</w:t>
      </w:r>
      <w:r>
        <w:t xml:space="preserve"> </w:t>
      </w:r>
      <m:oMath>
        <m:r>
          <m:rPr>
            <m:sty m:val="p"/>
          </m:rPr>
          <m:t>▫</m:t>
        </m:r>
      </m:oMath>
    </w:p>
    <w:p>
      <w:pPr>
        <w:pStyle w:val="BodyText"/>
      </w:pPr>
      <w:r>
        <w:t xml:space="preserve">Equation (3) supplies a canonical</w:t>
      </w:r>
      <w:r>
        <w:t xml:space="preserve"> </w:t>
      </w:r>
      <w:r>
        <w:rPr>
          <w:iCs/>
          <w:i/>
        </w:rPr>
        <w:t xml:space="preserve">local</w:t>
      </w:r>
      <w:r>
        <w:t xml:space="preserve"> </w:t>
      </w:r>
      <w:r>
        <w:t xml:space="preserve">metric from the declared formation rule. The finite-displacement energy retains third- and fourth-order terms; its exact global value is not replaced by its Hessian.</w:t>
      </w:r>
    </w:p>
    <w:bookmarkEnd w:id="22"/>
    <w:bookmarkStart w:id="24" w:name="Xf4a5df50a8d888153b6cf6c420de0d8850e61a3"/>
    <w:p>
      <w:pPr>
        <w:pStyle w:val="Heading1"/>
      </w:pPr>
      <w:r>
        <w:rPr>
          <w:rStyle w:val="SectionNumber"/>
        </w:rPr>
        <w:t xml:space="preserve">3</w:t>
      </w:r>
      <w:r>
        <w:tab/>
      </w:r>
      <w:r>
        <w:t xml:space="preserve">A source law with two explicit identifications</w:t>
      </w:r>
    </w:p>
    <w:p>
      <w:pPr>
        <w:pStyle w:val="FirstParagraph"/>
      </w:pPr>
      <w:r>
        <w:t xml:space="preserve">Write</w:t>
      </w:r>
      <w:r>
        <w:t xml:space="preserve"> </w:t>
      </w:r>
      <m:oMath>
        <m:r>
          <m:t>D</m:t>
        </m:r>
        <m:r>
          <m:rPr>
            <m:sty m:val="p"/>
          </m:rPr>
          <m:t>∈</m:t>
        </m:r>
        <m:sSub>
          <m:e>
            <m:r>
              <m:t>V</m:t>
            </m:r>
          </m:e>
          <m:sub>
            <m:r>
              <m:t>0</m:t>
            </m:r>
          </m:sub>
        </m:sSub>
      </m:oMath>
      <w:r>
        <w:t xml:space="preserve"> </w:t>
      </w:r>
      <w:r>
        <w:t xml:space="preserve">for a formed-branch tangent source and</w:t>
      </w:r>
      <w:r>
        <w:t xml:space="preserve"> </w:t>
      </w:r>
      <m:oMath>
        <m:r>
          <m:t>η</m:t>
        </m:r>
        <m:r>
          <m:rPr>
            <m:sty m:val="p"/>
          </m:rPr>
          <m:t>∈</m:t>
        </m:r>
        <m:sSub>
          <m:e>
            <m:r>
              <m:t>V</m:t>
            </m:r>
          </m:e>
          <m:sub>
            <m:r>
              <m:t>0</m:t>
            </m:r>
          </m:sub>
        </m:sSub>
      </m:oMath>
      <w:r>
        <w:t xml:space="preserve"> </w:t>
      </w:r>
      <w:r>
        <w:t xml:space="preserve">for a formal copy used as a neutral tangent. The same-carrier-copy restriction is a domain choice. An independently measured neutral carrier requires a separate correspondence map.</w:t>
      </w:r>
      <w:r>
        <w:t xml:space="preserve"> </w:t>
      </w:r>
      <w:r>
        <w:rPr>
          <w:bCs/>
          <w:b/>
        </w:rPr>
        <w:t xml:space="preserve">Proposed source rule 3.1 (L0–NC: neutral-capacity tangent rule).</w:t>
      </w:r>
      <w:r>
        <w:t xml:space="preserve"> </w:t>
      </w:r>
      <w:r>
        <w:t xml:space="preserve">In this finite same-carrier tangent sector: (NC1) the mixed source–neutral Hessian in original</w:t>
      </w:r>
      <w:r>
        <w:t xml:space="preserve"> </w:t>
      </w:r>
      <m:oMath>
        <m:sSub>
          <m:e>
            <m:r>
              <m:t>V</m:t>
            </m:r>
          </m:e>
          <m:sub>
            <m:r>
              <m:t>0</m:t>
            </m:r>
          </m:sub>
        </m:sSub>
      </m:oMath>
      <w:r>
        <w:t xml:space="preserve"> </w:t>
      </w:r>
      <w:r>
        <w:t xml:space="preserve">coordinates equals</w:t>
      </w:r>
      <w:r>
        <w:t xml:space="preserve"> </w:t>
      </w:r>
      <m:oMath>
        <m:r>
          <m:rPr>
            <m:sty m:val="p"/>
          </m:rPr>
          <m:t>−</m:t>
        </m:r>
        <m:sSub>
          <m:e>
            <m:r>
              <m:rPr>
                <m:sty m:val="p"/>
              </m:rPr>
              <m:t>ℵ</m:t>
            </m:r>
          </m:e>
          <m:sub>
            <m:r>
              <m:t>0</m:t>
            </m:r>
          </m:sub>
        </m:sSub>
      </m:oMath>
      <w:r>
        <w:t xml:space="preserve">; (NC2) the intrinsic neutral metric</w:t>
      </w:r>
      <w:r>
        <w:t xml:space="preserve"> </w:t>
      </w:r>
      <w:r>
        <w:rPr>
          <w:iCs/>
          <w:i/>
        </w:rPr>
        <w:t xml:space="preserve">after completion of the source square</w:t>
      </w:r>
      <w:r>
        <w:t xml:space="preserve"> </w:t>
      </w:r>
      <w:r>
        <w:t xml:space="preserve">equals the formed metric</w:t>
      </w:r>
      <w:r>
        <w:t xml:space="preserve"> </w:t>
      </w:r>
      <m:oMath>
        <m:sSub>
          <m:e>
            <m:r>
              <m:t>H</m:t>
            </m:r>
          </m:e>
          <m:sub>
            <m:r>
              <m:rPr>
                <m:sty m:val="p"/>
              </m:rPr>
              <m:t>*</m:t>
            </m:r>
          </m:sub>
        </m:sSub>
      </m:oMath>
      <w:r>
        <w:t xml:space="preserve">. There is no independently fitted scalar in either identification.</w:t>
      </w:r>
    </w:p>
    <w:p>
      <w:pPr>
        <w:pStyle w:val="BodyText"/>
      </w:pPr>
      <w:r>
        <w:t xml:space="preserve">These statements fix the exact quadratic tangent functional</w:t>
      </w:r>
    </w:p>
    <w:p>
      <w:pPr>
        <w:pStyle w:val="Equation"/>
        <w:keepLines/>
      </w:pPr>
      <m:oMathPara>
        <m:oMathParaPr>
          <m:jc m:val="center"/>
        </m:oMathParaPr>
        <m:oMath>
          <m:borderBox>
            <m:e>
              <m:sSub>
                <m:e>
                  <m:r>
                    <m:rPr>
                      <m:sty m:val="p"/>
                      <m:scr m:val="script"/>
                    </m:rPr>
                    <m:t>J</m:t>
                  </m:r>
                </m:e>
                <m:sub>
                  <m:r>
                    <m:rPr>
                      <m:sty m:val="p"/>
                    </m:rPr>
                    <m:t>N</m:t>
                  </m:r>
                  <m:r>
                    <m:rPr>
                      <m:sty m:val="p"/>
                    </m:rPr>
                    <m:t>C</m:t>
                  </m:r>
                </m:sub>
              </m:sSub>
              <m:d>
                <m:dPr>
                  <m:begChr m:val="("/>
                  <m:endChr m:val=")"/>
                  <m:sepChr m:val=""/>
                  <m:grow/>
                </m:dPr>
                <m:e>
                  <m:r>
                    <m:t>D</m:t>
                  </m:r>
                  <m:r>
                    <m:rPr>
                      <m:sty m:val="p"/>
                    </m:rPr>
                    <m:t>,</m:t>
                  </m:r>
                  <m:r>
                    <m:t>η</m:t>
                  </m:r>
                </m:e>
              </m:d>
              <m:r>
                <m:rPr>
                  <m:sty m:val="p"/>
                </m:rPr>
                <m:t>=</m:t>
              </m:r>
              <m:f>
                <m:fPr>
                  <m:type m:val="bar"/>
                </m:fPr>
                <m:num>
                  <m:r>
                    <m:t>1</m:t>
                  </m:r>
                </m:num>
                <m:den>
                  <m:r>
                    <m:t>2</m:t>
                  </m:r>
                </m:den>
              </m:f>
              <m:r>
                <m:rPr>
                  <m:sty m:val="p"/>
                </m:rPr>
                <m:t>∥</m:t>
              </m:r>
              <m:r>
                <m:t>D</m:t>
              </m:r>
              <m:r>
                <m:rPr>
                  <m:sty m:val="p"/>
                </m:rPr>
                <m:t>−</m:t>
              </m:r>
              <m:sSubSup>
                <m:e>
                  <m:r>
                    <m:t>H</m:t>
                  </m:r>
                </m:e>
                <m:sub>
                  <m:r>
                    <m:rPr>
                      <m:sty m:val="p"/>
                    </m:rPr>
                    <m:t>*</m:t>
                  </m:r>
                </m:sub>
                <m:sup>
                  <m:r>
                    <m:rPr>
                      <m:sty m:val="p"/>
                    </m:rPr>
                    <m:t>−</m:t>
                  </m:r>
                  <m:r>
                    <m:t>1</m:t>
                  </m:r>
                </m:sup>
              </m:sSubSup>
              <m:sSub>
                <m:e>
                  <m:r>
                    <m:rPr>
                      <m:sty m:val="p"/>
                    </m:rPr>
                    <m:t>ℵ</m:t>
                  </m:r>
                </m:e>
                <m:sub>
                  <m:r>
                    <m:t>0</m:t>
                  </m:r>
                </m:sub>
              </m:sSub>
              <m:r>
                <m:t>η</m:t>
              </m:r>
              <m:sSubSup>
                <m:e>
                  <m:r>
                    <m:rPr>
                      <m:sty m:val="p"/>
                    </m:rPr>
                    <m:t>∥</m:t>
                  </m:r>
                </m:e>
                <m:sub>
                  <m:sSub>
                    <m:e>
                      <m:r>
                        <m:t>H</m:t>
                      </m:r>
                    </m:e>
                    <m:sub>
                      <m:r>
                        <m:rPr>
                          <m:sty m:val="p"/>
                        </m:rPr>
                        <m:t>*</m:t>
                      </m:r>
                    </m:sub>
                  </m:sSub>
                </m:sub>
                <m:sup>
                  <m:r>
                    <m:t>2</m:t>
                  </m:r>
                </m:sup>
              </m:sSubSup>
              <m:r>
                <m:rPr>
                  <m:sty m:val="p"/>
                </m:rPr>
                <m:t>+</m:t>
              </m:r>
              <m:f>
                <m:fPr>
                  <m:type m:val="bar"/>
                </m:fPr>
                <m:num>
                  <m:r>
                    <m:t>1</m:t>
                  </m:r>
                </m:num>
                <m:den>
                  <m:r>
                    <m:t>2</m:t>
                  </m:r>
                </m:den>
              </m:f>
              <m:r>
                <m:rPr>
                  <m:sty m:val="p"/>
                </m:rPr>
                <m:t>∥</m:t>
              </m:r>
              <m:r>
                <m:t>η</m:t>
              </m:r>
              <m:sSubSup>
                <m:e>
                  <m:r>
                    <m:rPr>
                      <m:sty m:val="p"/>
                    </m:rPr>
                    <m:t>∥</m:t>
                  </m:r>
                </m:e>
                <m:sub>
                  <m:sSub>
                    <m:e>
                      <m:r>
                        <m:t>H</m:t>
                      </m:r>
                    </m:e>
                    <m:sub>
                      <m:r>
                        <m:rPr>
                          <m:sty m:val="p"/>
                        </m:rPr>
                        <m:t>*</m:t>
                      </m:r>
                    </m:sub>
                  </m:sSub>
                </m:sub>
                <m:sup>
                  <m:r>
                    <m:t>2</m:t>
                  </m:r>
                </m:sup>
              </m:sSubSup>
              <m:r>
                <m:rPr>
                  <m:sty m:val="p"/>
                </m:rPr>
                <m:t>,</m:t>
              </m:r>
              <m:r>
                <m:t>  </m:t>
              </m:r>
              <m:r>
                <m:rPr>
                  <m:sty m:val="p"/>
                </m:rPr>
                <m:t>∥</m:t>
              </m:r>
              <m:r>
                <m:t>x</m:t>
              </m:r>
              <m:sSubSup>
                <m:e>
                  <m:r>
                    <m:rPr>
                      <m:sty m:val="p"/>
                    </m:rPr>
                    <m:t>∥</m:t>
                  </m:r>
                </m:e>
                <m:sub>
                  <m:sSub>
                    <m:e>
                      <m:r>
                        <m:t>H</m:t>
                      </m:r>
                    </m:e>
                    <m:sub>
                      <m:r>
                        <m:rPr>
                          <m:sty m:val="p"/>
                        </m:rPr>
                        <m:t>*</m:t>
                      </m:r>
                    </m:sub>
                  </m:sSub>
                </m:sub>
                <m:sup>
                  <m:r>
                    <m:t>2</m:t>
                  </m:r>
                </m:sup>
              </m:sSubSup>
              <m:r>
                <m:rPr>
                  <m:sty m:val="p"/>
                </m:rPr>
                <m:t>=</m:t>
              </m:r>
              <m:r>
                <m:rPr>
                  <m:sty m:val="p"/>
                </m:rPr>
                <m:t>⟨</m:t>
              </m:r>
              <m:r>
                <m:t>x</m:t>
              </m:r>
              <m:r>
                <m:rPr>
                  <m:sty m:val="p"/>
                </m:rPr>
                <m:t>,</m:t>
              </m:r>
              <m:sSub>
                <m:e>
                  <m:r>
                    <m:t>H</m:t>
                  </m:r>
                </m:e>
                <m:sub>
                  <m:r>
                    <m:rPr>
                      <m:sty m:val="p"/>
                    </m:rPr>
                    <m:t>*</m:t>
                  </m:r>
                </m:sub>
              </m:sSub>
              <m:r>
                <m:t>x</m:t>
              </m:r>
              <m:r>
                <m:rPr>
                  <m:sty m:val="p"/>
                </m:rPr>
                <m:t>⟩</m:t>
              </m:r>
              <m:r>
                <m:rPr>
                  <m:sty m:val="p"/>
                </m:rPr>
                <m:t>.</m:t>
              </m:r>
            </m:e>
          </m:borderBox>
        </m:oMath>
      </m:oMathPara>
      <w:r>
        <w:rPr>
          <w:rFonts w:ascii="Cambria" w:hAnsi="Cambria"/>
          <w:sz w:val="18"/>
        </w:rPr>
        <w:tab/>
        <w:t>(4)</w:t>
      </w:r>
    </w:p>
    <w:p>
      <w:pPr>
        <w:pStyle w:val="FirstParagraph"/>
      </w:pPr>
      <w:r>
        <w:t xml:space="preserve">The rule uses the existing neutral capacity as a</w:t>
      </w:r>
      <w:r>
        <w:t xml:space="preserve"> </w:t>
      </w:r>
      <w:r>
        <w:rPr>
          <w:iCs/>
          <w:i/>
        </w:rPr>
        <w:t xml:space="preserve">specified representation of neutral-first difference production</w:t>
      </w:r>
      <w:r>
        <w:t xml:space="preserve">. This is scientifically substantive: the older source calls</w:t>
      </w:r>
      <w:r>
        <w:t xml:space="preserve"> </w:t>
      </w:r>
      <m:oMath>
        <m:sSub>
          <m:e>
            <m:r>
              <m:rPr>
                <m:sty m:val="p"/>
              </m:rPr>
              <m:t>ℵ</m:t>
            </m:r>
          </m:e>
          <m:sub>
            <m:r>
              <m:t>0</m:t>
            </m:r>
          </m:sub>
        </m:sSub>
      </m:oMath>
      <w:r>
        <w:t xml:space="preserve"> </w:t>
      </w:r>
      <w:r>
        <w:t xml:space="preserve">a neutral admissibility role but does not identify it as this mixed derivative [3]. Thus</w:t>
      </w:r>
      <w:r>
        <w:t xml:space="preserve"> </w:t>
      </w:r>
      <w:r>
        <w:t xml:space="preserve">“</w:t>
      </w:r>
      <w:r>
        <w:t xml:space="preserve">BFG-only</w:t>
      </w:r>
      <w:r>
        <w:t xml:space="preserve">”</w:t>
      </w:r>
      <w:r>
        <w:t xml:space="preserve"> </w:t>
      </w:r>
      <w:r>
        <w:t xml:space="preserve">here means no external physical law or fitted channel is inserted; it does not mean that the historical text already proved Axiom 3.1.</w:t>
      </w:r>
    </w:p>
    <w:bookmarkStart w:id="23" w:name="Xb894b6a3498712fef3c3684fb7f037c5a20fd64"/>
    <w:p>
      <w:pPr>
        <w:pStyle w:val="Heading2"/>
      </w:pPr>
      <w:r>
        <w:rPr>
          <w:rStyle w:val="SectionNumber"/>
        </w:rPr>
        <w:t xml:space="preserve">3.1</w:t>
      </w:r>
      <w:r>
        <w:tab/>
      </w:r>
      <w:r>
        <w:t xml:space="preserve">Why exactly two identifications are required</w:t>
      </w:r>
    </w:p>
    <w:p>
      <w:pPr>
        <w:pStyle w:val="FirstParagraph"/>
      </w:pPr>
      <w:r>
        <w:t xml:space="preserve">Consider any symmetric quadratic joint tangent energy with source Hessian</w:t>
      </w:r>
      <w:r>
        <w:t xml:space="preserve"> </w:t>
      </w:r>
      <m:oMath>
        <m:sSub>
          <m:e>
            <m:r>
              <m:t>H</m:t>
            </m:r>
          </m:e>
          <m:sub>
            <m:r>
              <m:rPr>
                <m:sty m:val="p"/>
              </m:rPr>
              <m:t>*</m:t>
            </m:r>
          </m:sub>
        </m:sSub>
      </m:oMath>
      <w:r>
        <w:t xml:space="preserve">:</w:t>
      </w:r>
    </w:p>
    <w:p>
      <w:pPr>
        <w:pStyle w:val="Equation"/>
        <w:keepLines/>
      </w:pPr>
      <m:oMathPara>
        <m:oMathParaPr>
          <m:jc m:val="center"/>
        </m:oMathParaPr>
        <m:oMath>
          <m:r>
            <m:t>J</m:t>
          </m:r>
          <m:d>
            <m:dPr>
              <m:begChr m:val="("/>
              <m:endChr m:val=")"/>
              <m:sepChr m:val=""/>
              <m:grow/>
            </m:dPr>
            <m:e>
              <m:r>
                <m:t>D</m:t>
              </m:r>
              <m:r>
                <m:rPr>
                  <m:sty m:val="p"/>
                </m:rPr>
                <m:t>,</m:t>
              </m:r>
              <m:r>
                <m:t>η</m:t>
              </m:r>
            </m:e>
          </m:d>
          <m:r>
            <m:rPr>
              <m:sty m:val="p"/>
            </m:rPr>
            <m:t>=</m:t>
          </m:r>
          <m:f>
            <m:fPr>
              <m:type m:val="lin"/>
            </m:fPr>
            <m:num>
              <m:r>
                <m:t>1</m:t>
              </m:r>
            </m:num>
            <m:den>
              <m:r>
                <m:t>2</m:t>
              </m:r>
            </m:den>
          </m:f>
          <m:r>
            <m:rPr>
              <m:sty m:val="p"/>
            </m:rPr>
            <m:t>⟨</m:t>
          </m:r>
          <m:r>
            <m:t>D</m:t>
          </m:r>
          <m:r>
            <m:rPr>
              <m:sty m:val="p"/>
            </m:rPr>
            <m:t>,</m:t>
          </m:r>
          <m:sSub>
            <m:e>
              <m:r>
                <m:t>H</m:t>
              </m:r>
            </m:e>
            <m:sub>
              <m:r>
                <m:rPr>
                  <m:sty m:val="p"/>
                </m:rPr>
                <m:t>*</m:t>
              </m:r>
            </m:sub>
          </m:sSub>
          <m:r>
            <m:t>D</m:t>
          </m:r>
          <m:r>
            <m:rPr>
              <m:sty m:val="p"/>
            </m:rPr>
            <m:t>⟩</m:t>
          </m:r>
          <m:r>
            <m:rPr>
              <m:sty m:val="p"/>
            </m:rPr>
            <m:t>−</m:t>
          </m:r>
          <m:r>
            <m:rPr>
              <m:sty m:val="p"/>
            </m:rPr>
            <m:t>⟨</m:t>
          </m:r>
          <m:r>
            <m:t>D</m:t>
          </m:r>
          <m:r>
            <m:rPr>
              <m:sty m:val="p"/>
            </m:rPr>
            <m:t>,</m:t>
          </m:r>
          <m:r>
            <m:t>B</m:t>
          </m:r>
          <m:r>
            <m:t>η</m:t>
          </m:r>
          <m:r>
            <m:rPr>
              <m:sty m:val="p"/>
            </m:rPr>
            <m:t>⟩</m:t>
          </m:r>
          <m:r>
            <m:rPr>
              <m:sty m:val="p"/>
            </m:rPr>
            <m:t>+</m:t>
          </m:r>
          <m:f>
            <m:fPr>
              <m:type m:val="lin"/>
            </m:fPr>
            <m:num>
              <m:r>
                <m:t>1</m:t>
              </m:r>
            </m:num>
            <m:den>
              <m:r>
                <m:t>2</m:t>
              </m:r>
            </m:den>
          </m:f>
          <m:r>
            <m:rPr>
              <m:sty m:val="p"/>
            </m:rPr>
            <m:t>⟨</m:t>
          </m:r>
          <m:r>
            <m:t>η</m:t>
          </m:r>
          <m:r>
            <m:rPr>
              <m:sty m:val="p"/>
            </m:rPr>
            <m:t>,</m:t>
          </m:r>
          <m:r>
            <m:t>Q</m:t>
          </m:r>
          <m:r>
            <m:t>η</m:t>
          </m:r>
          <m:r>
            <m:rPr>
              <m:sty m:val="p"/>
            </m:rPr>
            <m:t>⟩</m:t>
          </m:r>
          <m:r>
            <m:rPr>
              <m:sty m:val="p"/>
            </m:rPr>
            <m:t>,</m:t>
          </m:r>
          <m:r>
            <m:t>  </m:t>
          </m:r>
          <m:r>
            <m:t>M</m:t>
          </m:r>
          <m:box>
            <m:boxPr>
              <m:opEmu m:val="on"/>
            </m:boxPr>
            <m:e>
              <m:r>
                <m:rPr>
                  <m:sty m:val="p"/>
                </m:rPr>
                <m:t>:=</m:t>
              </m:r>
            </m:e>
          </m:box>
          <m:r>
            <m:t>Q</m:t>
          </m:r>
          <m:r>
            <m:rPr>
              <m:sty m:val="p"/>
            </m:rPr>
            <m:t>−</m:t>
          </m:r>
          <m:sSup>
            <m:e>
              <m:r>
                <m:t>B</m:t>
              </m:r>
            </m:e>
            <m:sup>
              <m:r>
                <m:t>​</m:t>
              </m:r>
              <m:r>
                <m:rPr>
                  <m:sty m:val="p"/>
                </m:rPr>
                <m:t>*</m:t>
              </m:r>
            </m:sup>
          </m:sSup>
          <m:sSubSup>
            <m:e>
              <m:r>
                <m:t>H</m:t>
              </m:r>
            </m:e>
            <m:sub>
              <m:r>
                <m:rPr>
                  <m:sty m:val="p"/>
                </m:rPr>
                <m:t>*</m:t>
              </m:r>
            </m:sub>
            <m:sup>
              <m:r>
                <m:rPr>
                  <m:sty m:val="p"/>
                </m:rPr>
                <m:t>−</m:t>
              </m:r>
              <m:r>
                <m:t>1</m:t>
              </m:r>
            </m:sup>
          </m:sSubSup>
          <m:r>
            <m:t>B</m:t>
          </m:r>
          <m:r>
            <m:rPr>
              <m:sty m:val="p"/>
            </m:rPr>
            <m:t>&gt;</m:t>
          </m:r>
          <m:r>
            <m:t>0</m:t>
          </m:r>
          <m:r>
            <m:rPr>
              <m:sty m:val="p"/>
            </m:rPr>
            <m:t>.</m:t>
          </m:r>
        </m:oMath>
      </m:oMathPara>
      <w:r>
        <w:rPr>
          <w:rFonts w:ascii="Cambria" w:hAnsi="Cambria"/>
          <w:sz w:val="18"/>
        </w:rPr>
        <w:tab/>
        <w:t>(5)</w:t>
      </w:r>
    </w:p>
    <w:p>
      <w:pPr>
        <w:pStyle w:val="FirstParagraph"/>
      </w:pPr>
      <w:r>
        <w:t xml:space="preserve">Here</w:t>
      </w:r>
      <w:r>
        <w:t xml:space="preserve"> </w:t>
      </w:r>
      <m:oMath>
        <m:r>
          <m:t>B</m:t>
        </m:r>
      </m:oMath>
      <w:r>
        <w:t xml:space="preserve"> </w:t>
      </w:r>
      <w:r>
        <w:t xml:space="preserve">is the mixed coupling,</w:t>
      </w:r>
      <w:r>
        <w:t xml:space="preserve"> </w:t>
      </w:r>
      <m:oMath>
        <m:r>
          <m:t>Q</m:t>
        </m:r>
      </m:oMath>
      <w:r>
        <w:t xml:space="preserve"> </w:t>
      </w:r>
      <w:r>
        <w:t xml:space="preserve">the raw neutral Hessian, and</w:t>
      </w:r>
      <w:r>
        <w:t xml:space="preserve"> </w:t>
      </w:r>
      <m:oMath>
        <m:r>
          <m:t>M</m:t>
        </m:r>
      </m:oMath>
      <w:r>
        <w:t xml:space="preserve"> </w:t>
      </w:r>
      <w:r>
        <w:t xml:space="preserve">its Schur complement. This standard block-matrix device is documented in the matrix literature [10,8]. Completion of the square gives, identically,</w:t>
      </w:r>
    </w:p>
    <w:p>
      <w:pPr>
        <w:pStyle w:val="Equation"/>
        <w:keepLines/>
      </w:pPr>
      <m:oMathPara>
        <m:oMathParaPr>
          <m:jc m:val="center"/>
        </m:oMathParaPr>
        <m:oMath>
          <m:r>
            <m:t>J</m:t>
          </m:r>
          <m:d>
            <m:dPr>
              <m:begChr m:val="("/>
              <m:endChr m:val=")"/>
              <m:sepChr m:val=""/>
              <m:grow/>
            </m:dPr>
            <m:e>
              <m:r>
                <m:t>D</m:t>
              </m:r>
              <m:r>
                <m:rPr>
                  <m:sty m:val="p"/>
                </m:rPr>
                <m:t>,</m:t>
              </m:r>
              <m:r>
                <m:t>η</m:t>
              </m:r>
            </m:e>
          </m:d>
          <m:r>
            <m:rPr>
              <m:sty m:val="p"/>
            </m:rPr>
            <m:t>=</m:t>
          </m:r>
          <m:f>
            <m:fPr>
              <m:type m:val="lin"/>
            </m:fPr>
            <m:num>
              <m:r>
                <m:t>1</m:t>
              </m:r>
            </m:num>
            <m:den>
              <m:r>
                <m:t>2</m:t>
              </m:r>
            </m:den>
          </m:f>
          <m:r>
            <m:rPr>
              <m:sty m:val="p"/>
            </m:rPr>
            <m:t>∥</m:t>
          </m:r>
          <m:r>
            <m:t>D</m:t>
          </m:r>
          <m:r>
            <m:rPr>
              <m:sty m:val="p"/>
            </m:rPr>
            <m:t>−</m:t>
          </m:r>
          <m:sSubSup>
            <m:e>
              <m:r>
                <m:t>H</m:t>
              </m:r>
            </m:e>
            <m:sub>
              <m:r>
                <m:rPr>
                  <m:sty m:val="p"/>
                </m:rPr>
                <m:t>*</m:t>
              </m:r>
            </m:sub>
            <m:sup>
              <m:r>
                <m:rPr>
                  <m:sty m:val="p"/>
                </m:rPr>
                <m:t>−</m:t>
              </m:r>
              <m:r>
                <m:t>1</m:t>
              </m:r>
            </m:sup>
          </m:sSubSup>
          <m:r>
            <m:t>B</m:t>
          </m:r>
          <m:r>
            <m:t>η</m:t>
          </m:r>
          <m:sSubSup>
            <m:e>
              <m:r>
                <m:rPr>
                  <m:sty m:val="p"/>
                </m:rPr>
                <m:t>∥</m:t>
              </m:r>
            </m:e>
            <m:sub>
              <m:sSub>
                <m:e>
                  <m:r>
                    <m:t>H</m:t>
                  </m:r>
                </m:e>
                <m:sub>
                  <m:r>
                    <m:rPr>
                      <m:sty m:val="p"/>
                    </m:rPr>
                    <m:t>*</m:t>
                  </m:r>
                </m:sub>
              </m:sSub>
            </m:sub>
            <m:sup>
              <m:r>
                <m:t>2</m:t>
              </m:r>
            </m:sup>
          </m:sSubSup>
          <m:r>
            <m:rPr>
              <m:sty m:val="p"/>
            </m:rPr>
            <m:t>+</m:t>
          </m:r>
          <m:f>
            <m:fPr>
              <m:type m:val="lin"/>
            </m:fPr>
            <m:num>
              <m:r>
                <m:t>1</m:t>
              </m:r>
            </m:num>
            <m:den>
              <m:r>
                <m:t>2</m:t>
              </m:r>
            </m:den>
          </m:f>
          <m:r>
            <m:rPr>
              <m:sty m:val="p"/>
            </m:rPr>
            <m:t>∥</m:t>
          </m:r>
          <m:r>
            <m:t>η</m:t>
          </m:r>
          <m:sSubSup>
            <m:e>
              <m:r>
                <m:rPr>
                  <m:sty m:val="p"/>
                </m:rPr>
                <m:t>∥</m:t>
              </m:r>
            </m:e>
            <m:sub>
              <m:r>
                <m:t>M</m:t>
              </m:r>
            </m:sub>
            <m:sup>
              <m:r>
                <m:t>2</m:t>
              </m:r>
            </m:sup>
          </m:sSubSup>
          <m:r>
            <m:rPr>
              <m:sty m:val="p"/>
            </m:rPr>
            <m:t>.</m:t>
          </m:r>
        </m:oMath>
      </m:oMathPara>
      <w:r>
        <w:rPr>
          <w:rFonts w:ascii="Cambria" w:hAnsi="Cambria"/>
          <w:sz w:val="18"/>
        </w:rPr>
        <w:tab/>
        <w:t>(6)</w:t>
      </w:r>
    </w:p>
    <w:p>
      <w:pPr>
        <w:pStyle w:val="FirstParagraph"/>
      </w:pPr>
      <w:r>
        <w:t xml:space="preserve">For</w:t>
      </w:r>
      <w:r>
        <w:t xml:space="preserve"> </w:t>
      </w:r>
      <m:oMath>
        <m:r>
          <m:t>d</m:t>
        </m:r>
        <m:r>
          <m:rPr>
            <m:sty m:val="p"/>
          </m:rPr>
          <m:t>=</m:t>
        </m:r>
        <m:sSubSup>
          <m:e>
            <m:r>
              <m:t>H</m:t>
            </m:r>
          </m:e>
          <m:sub>
            <m:r>
              <m:rPr>
                <m:sty m:val="p"/>
              </m:rPr>
              <m:t>*</m:t>
            </m:r>
          </m:sub>
          <m:sup>
            <m:r>
              <m:t>1</m:t>
            </m:r>
            <m:r>
              <m:rPr>
                <m:sty m:val="p"/>
              </m:rPr>
              <m:t>/</m:t>
            </m:r>
            <m:r>
              <m:t>2</m:t>
            </m:r>
          </m:sup>
        </m:sSubSup>
        <m:r>
          <m:t>D</m:t>
        </m:r>
      </m:oMath>
      <w:r>
        <w:t xml:space="preserve"> </w:t>
      </w:r>
      <w:r>
        <w:t xml:space="preserve">and</w:t>
      </w:r>
      <w:r>
        <w:t xml:space="preserve"> </w:t>
      </w:r>
      <m:oMath>
        <m:r>
          <m:t>ν</m:t>
        </m:r>
        <m:r>
          <m:rPr>
            <m:sty m:val="p"/>
          </m:rPr>
          <m:t>=</m:t>
        </m:r>
        <m:sSup>
          <m:e>
            <m:r>
              <m:t>M</m:t>
            </m:r>
          </m:e>
          <m:sup>
            <m:r>
              <m:t>1</m:t>
            </m:r>
            <m:r>
              <m:rPr>
                <m:sty m:val="p"/>
              </m:rPr>
              <m:t>/</m:t>
            </m:r>
            <m:r>
              <m:t>2</m:t>
            </m:r>
          </m:sup>
        </m:sSup>
        <m:r>
          <m:t>η</m:t>
        </m:r>
      </m:oMath>
      <w:r>
        <w:t xml:space="preserve">, the old BFG quadratic form is</w:t>
      </w:r>
      <w:r>
        <w:t xml:space="preserve"> </w:t>
      </w:r>
      <m:oMath>
        <m:f>
          <m:fPr>
            <m:type m:val="bar"/>
          </m:fPr>
          <m:num>
            <m:r>
              <m:t>1</m:t>
            </m:r>
          </m:num>
          <m:den>
            <m:r>
              <m:t>2</m:t>
            </m:r>
          </m:den>
        </m:f>
        <m:r>
          <m:rPr>
            <m:sty m:val="p"/>
          </m:rPr>
          <m:t>∥</m:t>
        </m:r>
        <m:r>
          <m:t>d</m:t>
        </m:r>
        <m:r>
          <m:rPr>
            <m:sty m:val="p"/>
          </m:rPr>
          <m:t>−</m:t>
        </m:r>
        <m:sSup>
          <m:e>
            <m:r>
              <m:t>A</m:t>
            </m:r>
          </m:e>
          <m:sup>
            <m:r>
              <m:t>​</m:t>
            </m:r>
            <m:r>
              <m:rPr>
                <m:sty m:val="p"/>
              </m:rPr>
              <m:t>*</m:t>
            </m:r>
          </m:sup>
        </m:sSup>
        <m:r>
          <m:t>ν</m:t>
        </m:r>
        <m:sSup>
          <m:e>
            <m:r>
              <m:rPr>
                <m:sty m:val="p"/>
              </m:rPr>
              <m:t>∥</m:t>
            </m:r>
          </m:e>
          <m:sup>
            <m:r>
              <m:t>2</m:t>
            </m:r>
          </m:sup>
        </m:sSup>
        <m:r>
          <m:rPr>
            <m:sty m:val="p"/>
          </m:rPr>
          <m:t>+</m:t>
        </m:r>
        <m:f>
          <m:fPr>
            <m:type m:val="bar"/>
          </m:fPr>
          <m:num>
            <m:r>
              <m:t>1</m:t>
            </m:r>
          </m:num>
          <m:den>
            <m:r>
              <m:t>2</m:t>
            </m:r>
          </m:den>
        </m:f>
        <m:r>
          <m:rPr>
            <m:sty m:val="p"/>
          </m:rPr>
          <m:t>∥</m:t>
        </m:r>
        <m:r>
          <m:t>ν</m:t>
        </m:r>
        <m:sSup>
          <m:e>
            <m:r>
              <m:rPr>
                <m:sty m:val="p"/>
              </m:rPr>
              <m:t>∥</m:t>
            </m:r>
          </m:e>
          <m:sup>
            <m:r>
              <m:t>2</m:t>
            </m:r>
          </m:sup>
        </m:sSup>
      </m:oMath>
      <w:r>
        <w:t xml:space="preserve"> </w:t>
      </w:r>
      <w:r>
        <w:t xml:space="preserve">with</w:t>
      </w:r>
    </w:p>
    <w:p>
      <w:pPr>
        <w:pStyle w:val="Equation"/>
        <w:keepLines/>
      </w:pPr>
      <m:oMathPara>
        <m:oMathParaPr>
          <m:jc m:val="center"/>
        </m:oMathParaPr>
        <m:oMath>
          <m:sSup>
            <m:e>
              <m:r>
                <m:t>A</m:t>
              </m:r>
            </m:e>
            <m:sup>
              <m:r>
                <m:t>​</m:t>
              </m:r>
              <m:r>
                <m:rPr>
                  <m:sty m:val="p"/>
                </m:rPr>
                <m:t>*</m:t>
              </m:r>
            </m:sup>
          </m:sSup>
          <m:r>
            <m:rPr>
              <m:sty m:val="p"/>
            </m:rPr>
            <m:t>=</m:t>
          </m:r>
          <m:sSubSup>
            <m:e>
              <m:r>
                <m:t>H</m:t>
              </m:r>
            </m:e>
            <m:sub>
              <m:r>
                <m:rPr>
                  <m:sty m:val="p"/>
                </m:rPr>
                <m:t>*</m:t>
              </m:r>
            </m:sub>
            <m:sup>
              <m:r>
                <m:rPr>
                  <m:sty m:val="p"/>
                </m:rPr>
                <m:t>−</m:t>
              </m:r>
              <m:r>
                <m:t>1</m:t>
              </m:r>
              <m:r>
                <m:rPr>
                  <m:sty m:val="p"/>
                </m:rPr>
                <m:t>/</m:t>
              </m:r>
              <m:r>
                <m:t>2</m:t>
              </m:r>
            </m:sup>
          </m:sSubSup>
          <m:r>
            <m:t>B</m:t>
          </m:r>
          <m:sSup>
            <m:e>
              <m:r>
                <m:t>M</m:t>
              </m:r>
            </m:e>
            <m:sup>
              <m:r>
                <m:rPr>
                  <m:sty m:val="p"/>
                </m:rPr>
                <m:t>−</m:t>
              </m:r>
              <m:r>
                <m:t>1</m:t>
              </m:r>
              <m:r>
                <m:rPr>
                  <m:sty m:val="p"/>
                </m:rPr>
                <m:t>/</m:t>
              </m:r>
              <m:r>
                <m:t>2</m:t>
              </m:r>
            </m:sup>
          </m:sSup>
          <m:r>
            <m:rPr>
              <m:sty m:val="p"/>
            </m:rPr>
            <m:t>,</m:t>
          </m:r>
          <m:r>
            <m:t>  </m:t>
          </m:r>
          <m:r>
            <m:t>Y</m:t>
          </m:r>
          <m:r>
            <m:rPr>
              <m:sty m:val="p"/>
            </m:rPr>
            <m:t>=</m:t>
          </m:r>
          <m:sSup>
            <m:e>
              <m:r>
                <m:t>A</m:t>
              </m:r>
            </m:e>
            <m:sup>
              <m:r>
                <m:t>​</m:t>
              </m:r>
              <m:r>
                <m:rPr>
                  <m:sty m:val="p"/>
                </m:rPr>
                <m:t>*</m:t>
              </m:r>
            </m:sup>
          </m:sSup>
          <m:r>
            <m:t>A</m:t>
          </m:r>
          <m:r>
            <m:rPr>
              <m:sty m:val="p"/>
            </m:rPr>
            <m:t>=</m:t>
          </m:r>
          <m:sSubSup>
            <m:e>
              <m:r>
                <m:t>H</m:t>
              </m:r>
            </m:e>
            <m:sub>
              <m:r>
                <m:rPr>
                  <m:sty m:val="p"/>
                </m:rPr>
                <m:t>*</m:t>
              </m:r>
            </m:sub>
            <m:sup>
              <m:r>
                <m:rPr>
                  <m:sty m:val="p"/>
                </m:rPr>
                <m:t>−</m:t>
              </m:r>
              <m:r>
                <m:t>1</m:t>
              </m:r>
              <m:r>
                <m:rPr>
                  <m:sty m:val="p"/>
                </m:rPr>
                <m:t>/</m:t>
              </m:r>
              <m:r>
                <m:t>2</m:t>
              </m:r>
            </m:sup>
          </m:sSubSup>
          <m:r>
            <m:t>B</m:t>
          </m:r>
          <m:sSup>
            <m:e>
              <m:r>
                <m:t>M</m:t>
              </m:r>
            </m:e>
            <m:sup>
              <m:r>
                <m:rPr>
                  <m:sty m:val="p"/>
                </m:rPr>
                <m:t>−</m:t>
              </m:r>
              <m:r>
                <m:t>1</m:t>
              </m:r>
            </m:sup>
          </m:sSup>
          <m:sSup>
            <m:e>
              <m:r>
                <m:t>B</m:t>
              </m:r>
            </m:e>
            <m:sup>
              <m:r>
                <m:t>​</m:t>
              </m:r>
              <m:r>
                <m:rPr>
                  <m:sty m:val="p"/>
                </m:rPr>
                <m:t>*</m:t>
              </m:r>
            </m:sup>
          </m:sSup>
          <m:sSubSup>
            <m:e>
              <m:r>
                <m:t>H</m:t>
              </m:r>
            </m:e>
            <m:sub>
              <m:r>
                <m:rPr>
                  <m:sty m:val="p"/>
                </m:rPr>
                <m:t>*</m:t>
              </m:r>
            </m:sub>
            <m:sup>
              <m:r>
                <m:rPr>
                  <m:sty m:val="p"/>
                </m:rPr>
                <m:t>−</m:t>
              </m:r>
              <m:r>
                <m:t>1</m:t>
              </m:r>
              <m:r>
                <m:rPr>
                  <m:sty m:val="p"/>
                </m:rPr>
                <m:t>/</m:t>
              </m:r>
              <m:r>
                <m:t>2</m:t>
              </m:r>
            </m:sup>
          </m:sSubSup>
          <m:r>
            <m:rPr>
              <m:sty m:val="p"/>
            </m:rPr>
            <m:t>.</m:t>
          </m:r>
        </m:oMath>
      </m:oMathPara>
      <w:r>
        <w:rPr>
          <w:rFonts w:ascii="Cambria" w:hAnsi="Cambria"/>
          <w:sz w:val="18"/>
        </w:rPr>
        <w:tab/>
        <w:t>(7)</w:t>
      </w:r>
    </w:p>
    <w:p>
      <w:pPr>
        <w:pStyle w:val="FirstParagraph"/>
      </w:pPr>
      <w:r>
        <w:t xml:space="preserve">L0–NC is the particular choice</w:t>
      </w:r>
    </w:p>
    <w:p>
      <w:pPr>
        <w:pStyle w:val="Equation"/>
        <w:keepLines/>
      </w:pPr>
      <m:oMathPara>
        <m:oMathParaPr>
          <m:jc m:val="center"/>
        </m:oMathParaPr>
        <m:oMath>
          <m:r>
            <m:t>B</m:t>
          </m:r>
          <m:r>
            <m:rPr>
              <m:sty m:val="p"/>
            </m:rPr>
            <m:t>=</m:t>
          </m:r>
          <m:sSub>
            <m:e>
              <m:r>
                <m:rPr>
                  <m:sty m:val="p"/>
                </m:rPr>
                <m:t>ℵ</m:t>
              </m:r>
            </m:e>
            <m:sub>
              <m:r>
                <m:t>0</m:t>
              </m:r>
            </m:sub>
          </m:sSub>
          <m:r>
            <m:rPr>
              <m:sty m:val="p"/>
            </m:rPr>
            <m:t>,</m:t>
          </m:r>
          <m:r>
            <m:t>  </m:t>
          </m:r>
          <m:r>
            <m:t>M</m:t>
          </m:r>
          <m:r>
            <m:rPr>
              <m:sty m:val="p"/>
            </m:rPr>
            <m:t>=</m:t>
          </m:r>
          <m:sSub>
            <m:e>
              <m:r>
                <m:t>H</m:t>
              </m:r>
            </m:e>
            <m:sub>
              <m:r>
                <m:rPr>
                  <m:sty m:val="p"/>
                </m:rPr>
                <m:t>*</m:t>
              </m:r>
            </m:sub>
          </m:sSub>
          <m:r>
            <m:rPr>
              <m:sty m:val="p"/>
            </m:rPr>
            <m:t>,</m:t>
          </m:r>
          <m:r>
            <m:t>  </m:t>
          </m:r>
          <m:r>
            <m:t>Q</m:t>
          </m:r>
          <m:r>
            <m:rPr>
              <m:sty m:val="p"/>
            </m:rPr>
            <m:t>=</m:t>
          </m:r>
          <m:sSub>
            <m:e>
              <m:r>
                <m:t>H</m:t>
              </m:r>
            </m:e>
            <m:sub>
              <m:r>
                <m:rPr>
                  <m:sty m:val="p"/>
                </m:rPr>
                <m:t>*</m:t>
              </m:r>
            </m:sub>
          </m:sSub>
          <m:r>
            <m:rPr>
              <m:sty m:val="p"/>
            </m:rPr>
            <m:t>+</m:t>
          </m:r>
          <m:sSub>
            <m:e>
              <m:r>
                <m:rPr>
                  <m:sty m:val="p"/>
                </m:rPr>
                <m:t>ℵ</m:t>
              </m:r>
            </m:e>
            <m:sub>
              <m:r>
                <m:t>0</m:t>
              </m:r>
            </m:sub>
          </m:sSub>
          <m:sSubSup>
            <m:e>
              <m:r>
                <m:t>H</m:t>
              </m:r>
            </m:e>
            <m:sub>
              <m:r>
                <m:rPr>
                  <m:sty m:val="p"/>
                </m:rPr>
                <m:t>*</m:t>
              </m:r>
            </m:sub>
            <m:sup>
              <m:r>
                <m:rPr>
                  <m:sty m:val="p"/>
                </m:rPr>
                <m:t>−</m:t>
              </m:r>
              <m:r>
                <m:t>1</m:t>
              </m:r>
            </m:sup>
          </m:sSubSup>
          <m:sSub>
            <m:e>
              <m:r>
                <m:rPr>
                  <m:sty m:val="p"/>
                </m:rPr>
                <m:t>ℵ</m:t>
              </m:r>
            </m:e>
            <m:sub>
              <m:r>
                <m:t>0</m:t>
              </m:r>
            </m:sub>
          </m:sSub>
          <m:r>
            <m:rPr>
              <m:sty m:val="p"/>
            </m:rPr>
            <m:t>.</m:t>
          </m:r>
        </m:oMath>
      </m:oMathPara>
      <w:r>
        <w:rPr>
          <w:rFonts w:ascii="Cambria" w:hAnsi="Cambria"/>
          <w:sz w:val="18"/>
        </w:rPr>
        <w:tab/>
        <w:t>(8)</w:t>
      </w:r>
    </w:p>
    <w:p>
      <w:pPr>
        <w:pStyle w:val="FirstParagraph"/>
      </w:pPr>
      <w:r>
        <w:t xml:space="preserve">Conversely, equality of the full joint Hessians in (5) and (4) forces both equalities</w:t>
      </w:r>
      <w:r>
        <w:t xml:space="preserve"> </w:t>
      </w:r>
      <m:oMath>
        <m:r>
          <m:t>B</m:t>
        </m:r>
        <m:r>
          <m:rPr>
            <m:sty m:val="p"/>
          </m:rPr>
          <m:t>=</m:t>
        </m:r>
        <m:sSub>
          <m:e>
            <m:r>
              <m:rPr>
                <m:sty m:val="p"/>
              </m:rPr>
              <m:t>ℵ</m:t>
            </m:r>
          </m:e>
          <m:sub>
            <m:r>
              <m:t>0</m:t>
            </m:r>
          </m:sub>
        </m:sSub>
      </m:oMath>
      <w:r>
        <w:t xml:space="preserve"> </w:t>
      </w:r>
      <w:r>
        <w:t xml:space="preserve">and</w:t>
      </w:r>
      <w:r>
        <w:t xml:space="preserve"> </w:t>
      </w:r>
      <m:oMath>
        <m:r>
          <m:t>M</m:t>
        </m:r>
        <m:r>
          <m:rPr>
            <m:sty m:val="p"/>
          </m:rPr>
          <m:t>=</m:t>
        </m:r>
        <m:sSub>
          <m:e>
            <m:r>
              <m:t>H</m:t>
            </m:r>
          </m:e>
          <m:sub>
            <m:r>
              <m:rPr>
                <m:sty m:val="p"/>
              </m:rPr>
              <m:t>*</m:t>
            </m:r>
          </m:sub>
        </m:sSub>
      </m:oMath>
      <w:r>
        <w:t xml:space="preserve">. This is an if-and-only-if characterization,</w:t>
      </w:r>
      <w:r>
        <w:t xml:space="preserve"> </w:t>
      </w:r>
      <w:r>
        <w:rPr>
          <w:iCs/>
          <w:i/>
        </w:rPr>
        <w:t xml:space="preserve">not</w:t>
      </w:r>
      <w:r>
        <w:t xml:space="preserve"> </w:t>
      </w:r>
      <w:r>
        <w:t xml:space="preserve">a derivation of (8) from (2).</w:t>
      </w:r>
    </w:p>
    <w:bookmarkEnd w:id="23"/>
    <w:bookmarkEnd w:id="24"/>
    <w:bookmarkStart w:id="25" w:name="exact-neutral-resolution"/>
    <w:p>
      <w:pPr>
        <w:pStyle w:val="Heading1"/>
      </w:pPr>
      <w:r>
        <w:rPr>
          <w:rStyle w:val="SectionNumber"/>
        </w:rPr>
        <w:t xml:space="preserve">4</w:t>
      </w:r>
      <w:r>
        <w:tab/>
      </w:r>
      <w:r>
        <w:t xml:space="preserve">Exact neutral resolution</w:t>
      </w:r>
    </w:p>
    <w:p>
      <w:pPr>
        <w:pStyle w:val="FirstParagraph"/>
      </w:pPr>
      <w:r>
        <w:rPr>
          <w:bCs/>
          <w:b/>
        </w:rPr>
        <w:t xml:space="preserve">Theorem 4.1 (Unique tangent channel and response).</w:t>
      </w:r>
      <w:r>
        <w:t xml:space="preserve"> </w:t>
      </w:r>
      <w:r>
        <w:t xml:space="preserve">Under the formed-branch assumptions and L0–NC, set</w:t>
      </w:r>
    </w:p>
    <w:p>
      <w:pPr>
        <w:pStyle w:val="Equation"/>
        <w:keepLines/>
      </w:pPr>
      <m:oMathPara>
        <m:oMathParaPr>
          <m:jc m:val="center"/>
        </m:oMathParaPr>
        <m:oMath>
          <m:r>
            <m:t>d</m:t>
          </m:r>
          <m:r>
            <m:rPr>
              <m:sty m:val="p"/>
            </m:rPr>
            <m:t>=</m:t>
          </m:r>
          <m:sSubSup>
            <m:e>
              <m:r>
                <m:t>H</m:t>
              </m:r>
            </m:e>
            <m:sub>
              <m:r>
                <m:rPr>
                  <m:sty m:val="p"/>
                </m:rPr>
                <m:t>*</m:t>
              </m:r>
            </m:sub>
            <m:sup>
              <m:r>
                <m:t>1</m:t>
              </m:r>
              <m:r>
                <m:rPr>
                  <m:sty m:val="p"/>
                </m:rPr>
                <m:t>/</m:t>
              </m:r>
              <m:r>
                <m:t>2</m:t>
              </m:r>
            </m:sup>
          </m:sSubSup>
          <m:r>
            <m:t>D</m:t>
          </m:r>
          <m:r>
            <m:rPr>
              <m:sty m:val="p"/>
            </m:rPr>
            <m:t>,</m:t>
          </m:r>
          <m:r>
            <m:t> </m:t>
          </m:r>
          <m:r>
            <m:t>ν</m:t>
          </m:r>
          <m:r>
            <m:rPr>
              <m:sty m:val="p"/>
            </m:rPr>
            <m:t>=</m:t>
          </m:r>
          <m:sSubSup>
            <m:e>
              <m:r>
                <m:t>H</m:t>
              </m:r>
            </m:e>
            <m:sub>
              <m:r>
                <m:rPr>
                  <m:sty m:val="p"/>
                </m:rPr>
                <m:t>*</m:t>
              </m:r>
            </m:sub>
            <m:sup>
              <m:r>
                <m:t>1</m:t>
              </m:r>
              <m:r>
                <m:rPr>
                  <m:sty m:val="p"/>
                </m:rPr>
                <m:t>/</m:t>
              </m:r>
              <m:r>
                <m:t>2</m:t>
              </m:r>
            </m:sup>
          </m:sSubSup>
          <m:r>
            <m:t>η</m:t>
          </m:r>
          <m:r>
            <m:rPr>
              <m:sty m:val="p"/>
            </m:rPr>
            <m:t>,</m:t>
          </m:r>
          <m:r>
            <m:t> </m:t>
          </m:r>
          <m:r>
            <m:t>A</m:t>
          </m:r>
          <m:r>
            <m:rPr>
              <m:sty m:val="p"/>
            </m:rPr>
            <m:t>=</m:t>
          </m:r>
          <m:sSup>
            <m:e>
              <m:r>
                <m:t>A</m:t>
              </m:r>
            </m:e>
            <m:sup>
              <m:r>
                <m:t>​</m:t>
              </m:r>
              <m:r>
                <m:rPr>
                  <m:sty m:val="p"/>
                </m:rPr>
                <m:t>*</m:t>
              </m:r>
            </m:sup>
          </m:sSup>
          <m:r>
            <m:rPr>
              <m:sty m:val="p"/>
            </m:rPr>
            <m:t>=</m:t>
          </m:r>
          <m:sSubSup>
            <m:e>
              <m:r>
                <m:t>H</m:t>
              </m:r>
            </m:e>
            <m:sub>
              <m:r>
                <m:rPr>
                  <m:sty m:val="p"/>
                </m:rPr>
                <m:t>*</m:t>
              </m:r>
            </m:sub>
            <m:sup>
              <m:r>
                <m:rPr>
                  <m:sty m:val="p"/>
                </m:rPr>
                <m:t>−</m:t>
              </m:r>
              <m:r>
                <m:t>1</m:t>
              </m:r>
              <m:r>
                <m:rPr>
                  <m:sty m:val="p"/>
                </m:rPr>
                <m:t>/</m:t>
              </m:r>
              <m:r>
                <m:t>2</m:t>
              </m:r>
            </m:sup>
          </m:sSubSup>
          <m:sSub>
            <m:e>
              <m:r>
                <m:rPr>
                  <m:sty m:val="p"/>
                </m:rPr>
                <m:t>ℵ</m:t>
              </m:r>
            </m:e>
            <m:sub>
              <m:r>
                <m:t>0</m:t>
              </m:r>
            </m:sub>
          </m:sSub>
          <m:sSubSup>
            <m:e>
              <m:r>
                <m:t>H</m:t>
              </m:r>
            </m:e>
            <m:sub>
              <m:r>
                <m:rPr>
                  <m:sty m:val="p"/>
                </m:rPr>
                <m:t>*</m:t>
              </m:r>
            </m:sub>
            <m:sup>
              <m:r>
                <m:rPr>
                  <m:sty m:val="p"/>
                </m:rPr>
                <m:t>−</m:t>
              </m:r>
              <m:r>
                <m:t>1</m:t>
              </m:r>
              <m:r>
                <m:rPr>
                  <m:sty m:val="p"/>
                </m:rPr>
                <m:t>/</m:t>
              </m:r>
              <m:r>
                <m:t>2</m:t>
              </m:r>
            </m:sup>
          </m:sSubSup>
          <m:r>
            <m:rPr>
              <m:sty m:val="p"/>
            </m:rPr>
            <m:t>,</m:t>
          </m:r>
          <m:r>
            <m:t> </m:t>
          </m:r>
          <m:r>
            <m:t>Y</m:t>
          </m:r>
          <m:r>
            <m:rPr>
              <m:sty m:val="p"/>
            </m:rPr>
            <m:t>=</m:t>
          </m:r>
          <m:sSup>
            <m:e>
              <m:r>
                <m:t>A</m:t>
              </m:r>
            </m:e>
            <m:sup>
              <m:r>
                <m:t>2</m:t>
              </m:r>
            </m:sup>
          </m:sSup>
          <m:r>
            <m:rPr>
              <m:sty m:val="p"/>
            </m:rPr>
            <m:t>≽</m:t>
          </m:r>
          <m:r>
            <m:t>0</m:t>
          </m:r>
          <m:r>
            <m:rPr>
              <m:sty m:val="p"/>
            </m:rPr>
            <m:t>.</m:t>
          </m:r>
        </m:oMath>
      </m:oMathPara>
      <w:r>
        <w:rPr>
          <w:rFonts w:ascii="Cambria" w:hAnsi="Cambria"/>
          <w:sz w:val="18"/>
        </w:rPr>
        <w:tab/>
        <w:t>(9)</w:t>
      </w:r>
    </w:p>
    <w:p>
      <w:pPr>
        <w:pStyle w:val="FirstParagraph"/>
      </w:pPr>
      <w:r>
        <w:t xml:space="preserve">The block Hessian of</w:t>
      </w:r>
      <w:r>
        <w:t xml:space="preserve"> </w:t>
      </w:r>
      <m:oMath>
        <m:sSub>
          <m:e>
            <m:r>
              <m:rPr>
                <m:sty m:val="p"/>
                <m:scr m:val="script"/>
              </m:rPr>
              <m:t>J</m:t>
            </m:r>
          </m:e>
          <m:sub>
            <m:r>
              <m:rPr>
                <m:sty m:val="p"/>
              </m:rPr>
              <m:t>N</m:t>
            </m:r>
            <m:r>
              <m:rPr>
                <m:sty m:val="p"/>
              </m:rPr>
              <m:t>C</m:t>
            </m:r>
          </m:sub>
        </m:sSub>
      </m:oMath>
      <w:r>
        <w:t xml:space="preserve"> </w:t>
      </w:r>
      <w:r>
        <w:t xml:space="preserve">is strictly positive. The minimizer is unique and obeys</w:t>
      </w:r>
    </w:p>
    <w:p>
      <w:pPr>
        <w:pStyle w:val="Equation"/>
        <w:keepLines/>
      </w:pPr>
      <m:oMathPara>
        <m:oMathParaPr>
          <m:jc m:val="center"/>
        </m:oMathParaPr>
        <m:oMath>
          <m:sSub>
            <m:e>
              <m:r>
                <m:t>η</m:t>
              </m:r>
            </m:e>
            <m:sub>
              <m:r>
                <m:rPr>
                  <m:sty m:val="p"/>
                </m:rPr>
                <m:t>*</m:t>
              </m:r>
            </m:sub>
          </m:sSub>
          <m:r>
            <m:rPr>
              <m:sty m:val="p"/>
            </m:rPr>
            <m:t>=</m:t>
          </m:r>
          <m:sSup>
            <m:e>
              <m:d>
                <m:dPr>
                  <m:begChr m:val="("/>
                  <m:endChr m:val=")"/>
                  <m:sepChr m:val=""/>
                  <m:grow/>
                </m:dPr>
                <m:e>
                  <m:sSub>
                    <m:e>
                      <m:r>
                        <m:t>H</m:t>
                      </m:r>
                    </m:e>
                    <m:sub>
                      <m:r>
                        <m:rPr>
                          <m:sty m:val="p"/>
                        </m:rPr>
                        <m:t>*</m:t>
                      </m:r>
                    </m:sub>
                  </m:sSub>
                  <m:r>
                    <m:rPr>
                      <m:sty m:val="p"/>
                    </m:rPr>
                    <m:t>+</m:t>
                  </m:r>
                  <m:sSub>
                    <m:e>
                      <m:r>
                        <m:rPr>
                          <m:sty m:val="p"/>
                        </m:rPr>
                        <m:t>ℵ</m:t>
                      </m:r>
                    </m:e>
                    <m:sub>
                      <m:r>
                        <m:t>0</m:t>
                      </m:r>
                    </m:sub>
                  </m:sSub>
                  <m:sSubSup>
                    <m:e>
                      <m:r>
                        <m:t>H</m:t>
                      </m:r>
                    </m:e>
                    <m:sub>
                      <m:r>
                        <m:rPr>
                          <m:sty m:val="p"/>
                        </m:rPr>
                        <m:t>*</m:t>
                      </m:r>
                    </m:sub>
                    <m:sup>
                      <m:r>
                        <m:rPr>
                          <m:sty m:val="p"/>
                        </m:rPr>
                        <m:t>−</m:t>
                      </m:r>
                      <m:r>
                        <m:t>1</m:t>
                      </m:r>
                    </m:sup>
                  </m:sSubSup>
                  <m:sSub>
                    <m:e>
                      <m:r>
                        <m:rPr>
                          <m:sty m:val="p"/>
                        </m:rPr>
                        <m:t>ℵ</m:t>
                      </m:r>
                    </m:e>
                    <m:sub>
                      <m:r>
                        <m:t>0</m:t>
                      </m:r>
                    </m:sub>
                  </m:sSub>
                </m:e>
              </m:d>
            </m:e>
            <m:sup>
              <m:r>
                <m:rPr>
                  <m:sty m:val="p"/>
                </m:rPr>
                <m:t>−</m:t>
              </m:r>
              <m:r>
                <m:t>1</m:t>
              </m:r>
            </m:sup>
          </m:sSup>
          <m:sSub>
            <m:e>
              <m:r>
                <m:rPr>
                  <m:sty m:val="p"/>
                </m:rPr>
                <m:t>ℵ</m:t>
              </m:r>
            </m:e>
            <m:sub>
              <m:r>
                <m:t>0</m:t>
              </m:r>
            </m:sub>
          </m:sSub>
          <m:r>
            <m:t>D</m:t>
          </m:r>
          <m:r>
            <m:rPr>
              <m:sty m:val="p"/>
            </m:rPr>
            <m:t>,</m:t>
          </m:r>
        </m:oMath>
      </m:oMathPara>
      <w:r>
        <w:rPr>
          <w:rFonts w:ascii="Cambria" w:hAnsi="Cambria"/>
          <w:sz w:val="18"/>
        </w:rPr>
        <w:tab/>
        <w:t>(10)</w:t>
      </w:r>
    </w:p>
    <w:p>
      <w:pPr>
        <w:pStyle w:val="Equation"/>
        <w:keepLines/>
      </w:pPr>
      <m:oMathPara>
        <m:oMathParaPr>
          <m:jc m:val="center"/>
        </m:oMathParaPr>
        <m:oMath>
          <m:limLow>
            <m:e>
              <m:r>
                <m:rPr>
                  <m:sty m:val="p"/>
                </m:rPr>
                <m:t>min</m:t>
              </m:r>
            </m:e>
            <m:lim>
              <m:r>
                <m:t>η</m:t>
              </m:r>
            </m:lim>
          </m:limLow>
          <m:sSub>
            <m:e>
              <m:r>
                <m:rPr>
                  <m:sty m:val="p"/>
                  <m:scr m:val="script"/>
                </m:rPr>
                <m:t>J</m:t>
              </m:r>
            </m:e>
            <m:sub>
              <m:r>
                <m:rPr>
                  <m:sty m:val="p"/>
                </m:rPr>
                <m:t>N</m:t>
              </m:r>
              <m:r>
                <m:rPr>
                  <m:sty m:val="p"/>
                </m:rPr>
                <m:t>C</m:t>
              </m:r>
            </m:sub>
          </m:sSub>
          <m:d>
            <m:dPr>
              <m:begChr m:val="("/>
              <m:endChr m:val=")"/>
              <m:sepChr m:val=""/>
              <m:grow/>
            </m:dPr>
            <m:e>
              <m:r>
                <m:t>D</m:t>
              </m:r>
              <m:r>
                <m:rPr>
                  <m:sty m:val="p"/>
                </m:rPr>
                <m:t>,</m:t>
              </m:r>
              <m:r>
                <m:t>η</m:t>
              </m:r>
            </m:e>
          </m:d>
          <m:r>
            <m:rPr>
              <m:sty m:val="p"/>
            </m:rPr>
            <m:t>=</m:t>
          </m:r>
          <m:f>
            <m:fPr>
              <m:type m:val="bar"/>
            </m:fPr>
            <m:num>
              <m:r>
                <m:t>1</m:t>
              </m:r>
            </m:num>
            <m:den>
              <m:r>
                <m:t>2</m:t>
              </m:r>
            </m:den>
          </m:f>
          <m:r>
            <m:rPr>
              <m:sty m:val="p"/>
            </m:rPr>
            <m:t>⟨</m:t>
          </m:r>
          <m:r>
            <m:t>D</m:t>
          </m:r>
          <m:r>
            <m:rPr>
              <m:sty m:val="p"/>
            </m:rPr>
            <m:t>,</m:t>
          </m:r>
          <m:sSubSup>
            <m:e>
              <m:r>
                <m:t>H</m:t>
              </m:r>
            </m:e>
            <m:sub>
              <m:r>
                <m:rPr>
                  <m:sty m:val="p"/>
                </m:rPr>
                <m:t>*</m:t>
              </m:r>
            </m:sub>
            <m:sup>
              <m:r>
                <m:t>1</m:t>
              </m:r>
              <m:r>
                <m:rPr>
                  <m:sty m:val="p"/>
                </m:rPr>
                <m:t>/</m:t>
              </m:r>
              <m:r>
                <m:t>2</m:t>
              </m:r>
            </m:sup>
          </m:sSubSup>
          <m:sSup>
            <m:e>
              <m:d>
                <m:dPr>
                  <m:begChr m:val="("/>
                  <m:endChr m:val=")"/>
                  <m:sepChr m:val=""/>
                  <m:grow/>
                </m:dPr>
                <m:e>
                  <m:r>
                    <m:t>I</m:t>
                  </m:r>
                  <m:r>
                    <m:rPr>
                      <m:sty m:val="p"/>
                    </m:rPr>
                    <m:t>+</m:t>
                  </m:r>
                  <m:r>
                    <m:t>Y</m:t>
                  </m:r>
                </m:e>
              </m:d>
            </m:e>
            <m:sup>
              <m:r>
                <m:rPr>
                  <m:sty m:val="p"/>
                </m:rPr>
                <m:t>−</m:t>
              </m:r>
              <m:r>
                <m:t>1</m:t>
              </m:r>
            </m:sup>
          </m:sSup>
          <m:sSubSup>
            <m:e>
              <m:r>
                <m:t>H</m:t>
              </m:r>
            </m:e>
            <m:sub>
              <m:r>
                <m:rPr>
                  <m:sty m:val="p"/>
                </m:rPr>
                <m:t>*</m:t>
              </m:r>
            </m:sub>
            <m:sup>
              <m:r>
                <m:t>1</m:t>
              </m:r>
              <m:r>
                <m:rPr>
                  <m:sty m:val="p"/>
                </m:rPr>
                <m:t>/</m:t>
              </m:r>
              <m:r>
                <m:t>2</m:t>
              </m:r>
            </m:sup>
          </m:sSubSup>
          <m:r>
            <m:t>D</m:t>
          </m:r>
          <m:r>
            <m:rPr>
              <m:sty m:val="p"/>
            </m:rPr>
            <m:t>⟩</m:t>
          </m:r>
          <m:r>
            <m:rPr>
              <m:sty m:val="p"/>
            </m:rPr>
            <m:t>.</m:t>
          </m:r>
        </m:oMath>
      </m:oMathPara>
      <w:r>
        <w:rPr>
          <w:rFonts w:ascii="Cambria" w:hAnsi="Cambria"/>
          <w:sz w:val="18"/>
        </w:rPr>
        <w:tab/>
        <w:t>(11)</w:t>
      </w:r>
    </w:p>
    <w:p>
      <w:pPr>
        <w:pStyle w:val="FirstParagraph"/>
      </w:pPr>
      <w:r>
        <w:t xml:space="preserve">The retained and complementary responses</w:t>
      </w:r>
      <w:r>
        <w:t xml:space="preserve"> </w:t>
      </w:r>
      <m:oMath>
        <m:sSub>
          <m:e>
            <m:r>
              <m:t>C</m:t>
            </m:r>
          </m:e>
          <m:sub>
            <m:r>
              <m:t>N</m:t>
            </m:r>
          </m:sub>
        </m:sSub>
        <m:r>
          <m:rPr>
            <m:sty m:val="p"/>
          </m:rPr>
          <m:t>=</m:t>
        </m:r>
        <m:sSup>
          <m:e>
            <m:d>
              <m:dPr>
                <m:begChr m:val="("/>
                <m:endChr m:val=")"/>
                <m:sepChr m:val=""/>
                <m:grow/>
              </m:dPr>
              <m:e>
                <m:r>
                  <m:t>I</m:t>
                </m:r>
                <m:r>
                  <m:rPr>
                    <m:sty m:val="p"/>
                  </m:rPr>
                  <m:t>+</m:t>
                </m:r>
                <m:r>
                  <m:t>Y</m:t>
                </m:r>
              </m:e>
            </m:d>
          </m:e>
          <m:sup>
            <m:r>
              <m:rPr>
                <m:sty m:val="p"/>
              </m:rPr>
              <m:t>−</m:t>
            </m:r>
            <m:r>
              <m:t>1</m:t>
            </m:r>
          </m:sup>
        </m:sSup>
      </m:oMath>
      <w:r>
        <w:t xml:space="preserve"> </w:t>
      </w:r>
      <w:r>
        <w:t xml:space="preserve">and</w:t>
      </w:r>
      <w:r>
        <w:t xml:space="preserve"> </w:t>
      </w:r>
      <m:oMath>
        <m:sSub>
          <m:e>
            <m:r>
              <m:t>B</m:t>
            </m:r>
          </m:e>
          <m:sub>
            <m:r>
              <m:t>N</m:t>
            </m:r>
          </m:sub>
        </m:sSub>
        <m:r>
          <m:rPr>
            <m:sty m:val="p"/>
          </m:rPr>
          <m:t>=</m:t>
        </m:r>
        <m:r>
          <m:t>Y</m:t>
        </m:r>
        <m:sSup>
          <m:e>
            <m:d>
              <m:dPr>
                <m:begChr m:val="("/>
                <m:endChr m:val=")"/>
                <m:sepChr m:val=""/>
                <m:grow/>
              </m:dPr>
              <m:e>
                <m:r>
                  <m:t>I</m:t>
                </m:r>
                <m:r>
                  <m:rPr>
                    <m:sty m:val="p"/>
                  </m:rPr>
                  <m:t>+</m:t>
                </m:r>
                <m:r>
                  <m:t>Y</m:t>
                </m:r>
              </m:e>
            </m:d>
          </m:e>
          <m:sup>
            <m:r>
              <m:rPr>
                <m:sty m:val="p"/>
              </m:rPr>
              <m:t>−</m:t>
            </m:r>
            <m:r>
              <m:t>1</m:t>
            </m:r>
          </m:sup>
        </m:sSup>
      </m:oMath>
      <w:r>
        <w:t xml:space="preserve"> </w:t>
      </w:r>
      <w:r>
        <w:t xml:space="preserve">satisfy</w:t>
      </w:r>
      <w:r>
        <w:t xml:space="preserve"> </w:t>
      </w:r>
      <m:oMath>
        <m:sSub>
          <m:e>
            <m:r>
              <m:t>C</m:t>
            </m:r>
          </m:e>
          <m:sub>
            <m:r>
              <m:t>N</m:t>
            </m:r>
          </m:sub>
        </m:sSub>
        <m:r>
          <m:rPr>
            <m:sty m:val="p"/>
          </m:rPr>
          <m:t>+</m:t>
        </m:r>
        <m:sSub>
          <m:e>
            <m:r>
              <m:t>B</m:t>
            </m:r>
          </m:e>
          <m:sub>
            <m:r>
              <m:t>N</m:t>
            </m:r>
          </m:sub>
        </m:sSub>
        <m:r>
          <m:rPr>
            <m:sty m:val="p"/>
          </m:rPr>
          <m:t>=</m:t>
        </m:r>
        <m:r>
          <m:t>I</m:t>
        </m:r>
      </m:oMath>
      <w:r>
        <w:t xml:space="preserve">,</w:t>
      </w:r>
      <w:r>
        <w:t xml:space="preserve"> </w:t>
      </w:r>
      <m:oMath>
        <m:r>
          <m:t>0</m:t>
        </m:r>
        <m:r>
          <m:rPr>
            <m:sty m:val="p"/>
          </m:rPr>
          <m:t>&lt;</m:t>
        </m:r>
        <m:sSub>
          <m:e>
            <m:r>
              <m:t>C</m:t>
            </m:r>
          </m:e>
          <m:sub>
            <m:r>
              <m:t>N</m:t>
            </m:r>
          </m:sub>
        </m:sSub>
        <m:r>
          <m:rPr>
            <m:sty m:val="p"/>
          </m:rPr>
          <m:t>≤</m:t>
        </m:r>
        <m:r>
          <m:t>I</m:t>
        </m:r>
      </m:oMath>
      <w:r>
        <w:t xml:space="preserve"> </w:t>
      </w:r>
      <w:r>
        <w:t xml:space="preserve">and</w:t>
      </w:r>
      <w:r>
        <w:t xml:space="preserve"> </w:t>
      </w:r>
      <m:oMath>
        <m:r>
          <m:t>0</m:t>
        </m:r>
        <m:r>
          <m:rPr>
            <m:sty m:val="p"/>
          </m:rPr>
          <m:t>≤</m:t>
        </m:r>
        <m:sSub>
          <m:e>
            <m:r>
              <m:t>B</m:t>
            </m:r>
          </m:e>
          <m:sub>
            <m:r>
              <m:t>N</m:t>
            </m:r>
          </m:sub>
        </m:sSub>
        <m:r>
          <m:rPr>
            <m:sty m:val="p"/>
          </m:rPr>
          <m:t>&lt;</m:t>
        </m:r>
        <m:r>
          <m:t>I</m:t>
        </m:r>
      </m:oMath>
      <w:r>
        <w:t xml:space="preserve">. All statements are covariant under orthogonal changes of the declared carrier coordinates.</w:t>
      </w:r>
    </w:p>
    <w:p>
      <w:pPr>
        <w:pStyle w:val="BodyText"/>
      </w:pPr>
      <w:r>
        <w:rPr>
          <w:iCs/>
          <w:i/>
        </w:rPr>
        <w:t xml:space="preserve">Proof.</w:t>
      </w:r>
      <w:r>
        <w:t xml:space="preserve"> </w:t>
      </w:r>
      <w:r>
        <w:t xml:space="preserve">Expansion of (4) yields the block Hessian</w:t>
      </w:r>
    </w:p>
    <w:p>
      <w:pPr>
        <w:pStyle w:val="Equation"/>
        <w:keepLines/>
      </w:pPr>
      <m:oMathPara>
        <m:oMathParaPr>
          <m:jc m:val="center"/>
        </m:oMathParaPr>
        <m:oMath>
          <m:d>
            <m:dPr>
              <m:begChr m:val="("/>
              <m:endChr m:val=")"/>
              <m:sepChr m:val=""/>
              <m:grow/>
            </m:dPr>
            <m:e>
              <m:m>
                <m:mPr>
                  <m:baseJc m:val="center"/>
                  <m:plcHide m:val="on"/>
                  <m:mcs>
                    <m:mc>
                      <m:mcPr>
                        <m:mcJc m:val="center"/>
                        <m:count m:val="1"/>
                      </m:mcPr>
                    </m:mc>
                    <m:mc>
                      <m:mcPr>
                        <m:mcJc m:val="center"/>
                        <m:count m:val="1"/>
                      </m:mcPr>
                    </m:mc>
                  </m:mcs>
                </m:mPr>
                <m:mr>
                  <m:e>
                    <m:sSub>
                      <m:e>
                        <m:r>
                          <m:t>H</m:t>
                        </m:r>
                      </m:e>
                      <m:sub>
                        <m:r>
                          <m:rPr>
                            <m:sty m:val="p"/>
                          </m:rPr>
                          <m:t>*</m:t>
                        </m:r>
                      </m:sub>
                    </m:sSub>
                  </m:e>
                  <m:e>
                    <m:r>
                      <m:rPr>
                        <m:sty m:val="p"/>
                      </m:rPr>
                      <m:t>−</m:t>
                    </m:r>
                    <m:sSub>
                      <m:e>
                        <m:r>
                          <m:rPr>
                            <m:sty m:val="p"/>
                          </m:rPr>
                          <m:t>ℵ</m:t>
                        </m:r>
                      </m:e>
                      <m:sub>
                        <m:r>
                          <m:t>0</m:t>
                        </m:r>
                      </m:sub>
                    </m:sSub>
                  </m:e>
                </m:mr>
                <m:mr>
                  <m:e>
                    <m:r>
                      <m:rPr>
                        <m:sty m:val="p"/>
                      </m:rPr>
                      <m:t>−</m:t>
                    </m:r>
                    <m:sSub>
                      <m:e>
                        <m:r>
                          <m:rPr>
                            <m:sty m:val="p"/>
                          </m:rPr>
                          <m:t>ℵ</m:t>
                        </m:r>
                      </m:e>
                      <m:sub>
                        <m:r>
                          <m:t>0</m:t>
                        </m:r>
                      </m:sub>
                    </m:sSub>
                  </m:e>
                  <m:e>
                    <m:sSub>
                      <m:e>
                        <m:r>
                          <m:t>H</m:t>
                        </m:r>
                      </m:e>
                      <m:sub>
                        <m:r>
                          <m:rPr>
                            <m:sty m:val="p"/>
                          </m:rPr>
                          <m:t>*</m:t>
                        </m:r>
                      </m:sub>
                    </m:sSub>
                    <m:r>
                      <m:rPr>
                        <m:sty m:val="p"/>
                      </m:rPr>
                      <m:t>+</m:t>
                    </m:r>
                    <m:sSub>
                      <m:e>
                        <m:r>
                          <m:rPr>
                            <m:sty m:val="p"/>
                          </m:rPr>
                          <m:t>ℵ</m:t>
                        </m:r>
                      </m:e>
                      <m:sub>
                        <m:r>
                          <m:t>0</m:t>
                        </m:r>
                      </m:sub>
                    </m:sSub>
                    <m:sSubSup>
                      <m:e>
                        <m:r>
                          <m:t>H</m:t>
                        </m:r>
                      </m:e>
                      <m:sub>
                        <m:r>
                          <m:rPr>
                            <m:sty m:val="p"/>
                          </m:rPr>
                          <m:t>*</m:t>
                        </m:r>
                      </m:sub>
                      <m:sup>
                        <m:r>
                          <m:rPr>
                            <m:sty m:val="p"/>
                          </m:rPr>
                          <m:t>−</m:t>
                        </m:r>
                        <m:r>
                          <m:t>1</m:t>
                        </m:r>
                      </m:sup>
                    </m:sSubSup>
                    <m:sSub>
                      <m:e>
                        <m:r>
                          <m:rPr>
                            <m:sty m:val="p"/>
                          </m:rPr>
                          <m:t>ℵ</m:t>
                        </m:r>
                      </m:e>
                      <m:sub>
                        <m:r>
                          <m:t>0</m:t>
                        </m:r>
                      </m:sub>
                    </m:sSub>
                  </m:e>
                </m:mr>
              </m:m>
            </m:e>
          </m:d>
          <m:r>
            <m:rPr>
              <m:sty m:val="p"/>
            </m:rPr>
            <m:t>.</m:t>
          </m:r>
        </m:oMath>
      </m:oMathPara>
      <w:r>
        <w:rPr>
          <w:rFonts w:ascii="Cambria" w:hAnsi="Cambria"/>
          <w:sz w:val="18"/>
        </w:rPr>
        <w:tab/>
        <w:t>(12)</w:t>
      </w:r>
    </w:p>
    <w:p>
      <w:pPr>
        <w:pStyle w:val="FirstParagraph"/>
      </w:pPr>
      <w:r>
        <w:t xml:space="preserve">Its Schur complement relative to</w:t>
      </w:r>
      <w:r>
        <w:t xml:space="preserve"> </w:t>
      </w:r>
      <m:oMath>
        <m:sSub>
          <m:e>
            <m:r>
              <m:t>H</m:t>
            </m:r>
          </m:e>
          <m:sub>
            <m:r>
              <m:rPr>
                <m:sty m:val="p"/>
              </m:rPr>
              <m:t>*</m:t>
            </m:r>
          </m:sub>
        </m:sSub>
        <m:r>
          <m:rPr>
            <m:sty m:val="p"/>
          </m:rPr>
          <m:t>&gt;</m:t>
        </m:r>
        <m:r>
          <m:t>0</m:t>
        </m:r>
      </m:oMath>
      <w:r>
        <w:t xml:space="preserve"> </w:t>
      </w:r>
      <w:r>
        <w:t xml:space="preserve">is</w:t>
      </w:r>
      <w:r>
        <w:t xml:space="preserve"> </w:t>
      </w:r>
      <m:oMath>
        <m:sSub>
          <m:e>
            <m:r>
              <m:t>H</m:t>
            </m:r>
          </m:e>
          <m:sub>
            <m:r>
              <m:rPr>
                <m:sty m:val="p"/>
              </m:rPr>
              <m:t>*</m:t>
            </m:r>
          </m:sub>
        </m:sSub>
        <m:r>
          <m:rPr>
            <m:sty m:val="p"/>
          </m:rPr>
          <m:t>&gt;</m:t>
        </m:r>
        <m:r>
          <m:t>0</m:t>
        </m:r>
      </m:oMath>
      <w:r>
        <w:t xml:space="preserve">, so the block is strictly positive. The neutral stationarity equation is</w:t>
      </w:r>
      <w:r>
        <w:t xml:space="preserve"> </w:t>
      </w:r>
      <m:oMath>
        <m:d>
          <m:dPr>
            <m:begChr m:val="("/>
            <m:endChr m:val=")"/>
            <m:sepChr m:val=""/>
            <m:grow/>
          </m:dPr>
          <m:e>
            <m:sSub>
              <m:e>
                <m:r>
                  <m:t>H</m:t>
                </m:r>
              </m:e>
              <m:sub>
                <m:r>
                  <m:rPr>
                    <m:sty m:val="p"/>
                  </m:rPr>
                  <m:t>*</m:t>
                </m:r>
              </m:sub>
            </m:sSub>
            <m:r>
              <m:rPr>
                <m:sty m:val="p"/>
              </m:rPr>
              <m:t>+</m:t>
            </m:r>
            <m:sSub>
              <m:e>
                <m:r>
                  <m:rPr>
                    <m:sty m:val="p"/>
                  </m:rPr>
                  <m:t>ℵ</m:t>
                </m:r>
              </m:e>
              <m:sub>
                <m:r>
                  <m:t>0</m:t>
                </m:r>
              </m:sub>
            </m:sSub>
            <m:sSubSup>
              <m:e>
                <m:r>
                  <m:t>H</m:t>
                </m:r>
              </m:e>
              <m:sub>
                <m:r>
                  <m:rPr>
                    <m:sty m:val="p"/>
                  </m:rPr>
                  <m:t>*</m:t>
                </m:r>
              </m:sub>
              <m:sup>
                <m:r>
                  <m:rPr>
                    <m:sty m:val="p"/>
                  </m:rPr>
                  <m:t>−</m:t>
                </m:r>
                <m:r>
                  <m:t>1</m:t>
                </m:r>
              </m:sup>
            </m:sSubSup>
            <m:sSub>
              <m:e>
                <m:r>
                  <m:rPr>
                    <m:sty m:val="p"/>
                  </m:rPr>
                  <m:t>ℵ</m:t>
                </m:r>
              </m:e>
              <m:sub>
                <m:r>
                  <m:t>0</m:t>
                </m:r>
              </m:sub>
            </m:sSub>
          </m:e>
        </m:d>
        <m:r>
          <m:t>η</m:t>
        </m:r>
        <m:r>
          <m:rPr>
            <m:sty m:val="p"/>
          </m:rPr>
          <m:t>=</m:t>
        </m:r>
        <m:sSub>
          <m:e>
            <m:r>
              <m:rPr>
                <m:sty m:val="p"/>
              </m:rPr>
              <m:t>ℵ</m:t>
            </m:r>
          </m:e>
          <m:sub>
            <m:r>
              <m:t>0</m:t>
            </m:r>
          </m:sub>
        </m:sSub>
        <m:r>
          <m:t>D</m:t>
        </m:r>
      </m:oMath>
      <w:r>
        <w:t xml:space="preserve">, proving (10). Whitening gives</w:t>
      </w:r>
      <w:r>
        <w:t xml:space="preserve"> </w:t>
      </w:r>
      <m:oMath>
        <m:sSub>
          <m:e>
            <m:r>
              <m:rPr>
                <m:sty m:val="p"/>
                <m:scr m:val="script"/>
              </m:rPr>
              <m:t>J</m:t>
            </m:r>
          </m:e>
          <m:sub>
            <m:r>
              <m:rPr>
                <m:sty m:val="p"/>
              </m:rPr>
              <m:t>N</m:t>
            </m:r>
            <m:r>
              <m:rPr>
                <m:sty m:val="p"/>
              </m:rPr>
              <m:t>C</m:t>
            </m:r>
          </m:sub>
        </m:sSub>
        <m:r>
          <m:rPr>
            <m:sty m:val="p"/>
          </m:rPr>
          <m:t>=</m:t>
        </m:r>
        <m:f>
          <m:fPr>
            <m:type m:val="bar"/>
          </m:fPr>
          <m:num>
            <m:r>
              <m:t>1</m:t>
            </m:r>
          </m:num>
          <m:den>
            <m:r>
              <m:t>2</m:t>
            </m:r>
          </m:den>
        </m:f>
        <m:r>
          <m:rPr>
            <m:sty m:val="p"/>
          </m:rPr>
          <m:t>∥</m:t>
        </m:r>
        <m:r>
          <m:t>d</m:t>
        </m:r>
        <m:r>
          <m:rPr>
            <m:sty m:val="p"/>
          </m:rPr>
          <m:t>−</m:t>
        </m:r>
        <m:r>
          <m:t>A</m:t>
        </m:r>
        <m:r>
          <m:t>ν</m:t>
        </m:r>
        <m:sSup>
          <m:e>
            <m:r>
              <m:rPr>
                <m:sty m:val="p"/>
              </m:rPr>
              <m:t>∥</m:t>
            </m:r>
          </m:e>
          <m:sup>
            <m:r>
              <m:t>2</m:t>
            </m:r>
          </m:sup>
        </m:sSup>
        <m:r>
          <m:rPr>
            <m:sty m:val="p"/>
          </m:rPr>
          <m:t>+</m:t>
        </m:r>
        <m:f>
          <m:fPr>
            <m:type m:val="bar"/>
          </m:fPr>
          <m:num>
            <m:r>
              <m:t>1</m:t>
            </m:r>
          </m:num>
          <m:den>
            <m:r>
              <m:t>2</m:t>
            </m:r>
          </m:den>
        </m:f>
        <m:r>
          <m:rPr>
            <m:sty m:val="p"/>
          </m:rPr>
          <m:t>∥</m:t>
        </m:r>
        <m:r>
          <m:t>ν</m:t>
        </m:r>
        <m:sSup>
          <m:e>
            <m:r>
              <m:rPr>
                <m:sty m:val="p"/>
              </m:rPr>
              <m:t>∥</m:t>
            </m:r>
          </m:e>
          <m:sup>
            <m:r>
              <m:t>2</m:t>
            </m:r>
          </m:sup>
        </m:sSup>
      </m:oMath>
      <w:r>
        <w:t xml:space="preserve">. Its unique stationary point is</w:t>
      </w:r>
      <w:r>
        <w:t xml:space="preserve"> </w:t>
      </w:r>
      <m:oMath>
        <m:sSup>
          <m:e>
            <m:d>
              <m:dPr>
                <m:begChr m:val="("/>
                <m:endChr m:val=")"/>
                <m:sepChr m:val=""/>
                <m:grow/>
              </m:dPr>
              <m:e>
                <m:r>
                  <m:t>I</m:t>
                </m:r>
                <m:r>
                  <m:rPr>
                    <m:sty m:val="p"/>
                  </m:rPr>
                  <m:t>+</m:t>
                </m:r>
                <m:sSup>
                  <m:e>
                    <m:r>
                      <m:t>A</m:t>
                    </m:r>
                  </m:e>
                  <m:sup>
                    <m:r>
                      <m:t>2</m:t>
                    </m:r>
                  </m:sup>
                </m:sSup>
              </m:e>
            </m:d>
          </m:e>
          <m:sup>
            <m:r>
              <m:rPr>
                <m:sty m:val="p"/>
              </m:rPr>
              <m:t>−</m:t>
            </m:r>
            <m:r>
              <m:t>1</m:t>
            </m:r>
          </m:sup>
        </m:sSup>
        <m:r>
          <m:t>A</m:t>
        </m:r>
        <m:r>
          <m:t>d</m:t>
        </m:r>
      </m:oMath>
      <w:r>
        <w:t xml:space="preserve">; substitution or the resolvent identity proves (11). The response inequalities follow from spectral calculus for</w:t>
      </w:r>
      <w:r>
        <w:t xml:space="preserve"> </w:t>
      </w:r>
      <m:oMath>
        <m:r>
          <m:t>Y</m:t>
        </m:r>
        <m:r>
          <m:rPr>
            <m:sty m:val="p"/>
          </m:rPr>
          <m:t>≽</m:t>
        </m:r>
        <m:r>
          <m:t>0</m:t>
        </m:r>
      </m:oMath>
      <w:r>
        <w:t xml:space="preserve">. Functional calculus also commutes with orthogonal conjugation.</w:t>
      </w:r>
      <w:r>
        <w:t xml:space="preserve"> </w:t>
      </w:r>
      <m:oMath>
        <m:r>
          <m:rPr>
            <m:sty m:val="p"/>
          </m:rPr>
          <m:t>▫</m:t>
        </m:r>
      </m:oMath>
    </w:p>
    <w:p>
      <w:pPr>
        <w:pStyle w:val="BodyText"/>
      </w:pPr>
      <w:r>
        <w:t xml:space="preserve">There is no assertion that an arbitrary channel</w:t>
      </w:r>
      <w:r>
        <w:t xml:space="preserve"> </w:t>
      </w:r>
      <m:oMath>
        <m:r>
          <m:t>A</m:t>
        </m:r>
      </m:oMath>
      <w:r>
        <w:t xml:space="preserve"> </w:t>
      </w:r>
      <w:r>
        <w:t xml:space="preserve">of the older BFG Section 3.2 equals (9). The new source rule</w:t>
      </w:r>
      <w:r>
        <w:t xml:space="preserve"> </w:t>
      </w:r>
      <w:r>
        <w:rPr>
          <w:iCs/>
          <w:i/>
        </w:rPr>
        <w:t xml:space="preserve">restricts</w:t>
      </w:r>
      <w:r>
        <w:t xml:space="preserve"> </w:t>
      </w:r>
      <w:r>
        <w:t xml:space="preserve">that older model class to a selected sector.</w:t>
      </w:r>
    </w:p>
    <w:bookmarkEnd w:id="25"/>
    <w:bookmarkStart w:id="29" w:name="countermodels-and-a-nontrivial-example"/>
    <w:p>
      <w:pPr>
        <w:pStyle w:val="Heading1"/>
      </w:pPr>
      <w:r>
        <w:rPr>
          <w:rStyle w:val="SectionNumber"/>
        </w:rPr>
        <w:t xml:space="preserve">5</w:t>
      </w:r>
      <w:r>
        <w:tab/>
      </w:r>
      <w:r>
        <w:t xml:space="preserve">Countermodels and a nontrivial example</w:t>
      </w:r>
    </w:p>
    <w:p>
      <w:pPr>
        <w:pStyle w:val="FirstParagraph"/>
      </w:pPr>
      <w:r>
        <w:rPr>
          <w:bCs/>
          <w:b/>
        </w:rPr>
        <w:t xml:space="preserve">Proposition 5.1 (The old source does not select L0–NC).</w:t>
      </w:r>
      <w:r>
        <w:t xml:space="preserve"> </w:t>
      </w:r>
      <w:r>
        <w:t xml:space="preserve">The formation data (2), even together with the general quadratic completion of BFG Section 3.2, do not uniquely determine</w:t>
      </w:r>
      <w:r>
        <w:t xml:space="preserve"> </w:t>
      </w:r>
      <m:oMath>
        <m:r>
          <m:t>A</m:t>
        </m:r>
      </m:oMath>
      <w:r>
        <w:t xml:space="preserve"> </w:t>
      </w:r>
      <w:r>
        <w:t xml:space="preserve">or</w:t>
      </w:r>
      <w:r>
        <w:t xml:space="preserve"> </w:t>
      </w:r>
      <m:oMath>
        <m:r>
          <m:t>M</m:t>
        </m:r>
      </m:oMath>
      <w:r>
        <w:t xml:space="preserve">.</w:t>
      </w:r>
    </w:p>
    <w:p>
      <w:pPr>
        <w:pStyle w:val="BodyText"/>
      </w:pPr>
      <w:r>
        <w:rPr>
          <w:iCs/>
          <w:i/>
        </w:rPr>
        <w:t xml:space="preserve">Proof.</w:t>
      </w:r>
      <w:r>
        <w:t xml:space="preserve"> </w:t>
      </w:r>
      <w:r>
        <w:t xml:space="preserve">Take</w:t>
      </w:r>
      <w:r>
        <w:t xml:space="preserve"> </w:t>
      </w:r>
      <m:oMath>
        <m:sSub>
          <m:e>
            <m:r>
              <m:t>V</m:t>
            </m:r>
          </m:e>
          <m:sub>
            <m:r>
              <m:t>0</m:t>
            </m:r>
          </m:sub>
        </m:sSub>
        <m:r>
          <m:rPr>
            <m:sty m:val="p"/>
          </m:rPr>
          <m:t>=</m:t>
        </m:r>
        <m:r>
          <m:rPr>
            <m:sty m:val="p"/>
            <m:scr m:val="double-struck"/>
          </m:rPr>
          <m:t>R</m:t>
        </m:r>
      </m:oMath>
      <w:r>
        <w:t xml:space="preserve">,</w:t>
      </w:r>
      <w:r>
        <w:t xml:space="preserve"> </w:t>
      </w:r>
      <m:oMath>
        <m:sSub>
          <m:e>
            <m:r>
              <m:t>K</m:t>
            </m:r>
          </m:e>
          <m:sub>
            <m:r>
              <m:t>0</m:t>
            </m:r>
          </m:sub>
        </m:sSub>
        <m:r>
          <m:rPr>
            <m:sty m:val="p"/>
          </m:rPr>
          <m:t>=</m:t>
        </m:r>
        <m:r>
          <m:rPr>
            <m:sty m:val="p"/>
          </m:rPr>
          <m:t>−</m:t>
        </m:r>
        <m:r>
          <m:t>1</m:t>
        </m:r>
      </m:oMath>
      <w:r>
        <w:t xml:space="preserve">,</w:t>
      </w:r>
      <w:r>
        <w:t xml:space="preserve"> </w:t>
      </w:r>
      <m:oMath>
        <m:sSub>
          <m:e>
            <m:r>
              <m:rPr>
                <m:sty m:val="p"/>
                <m:scr m:val="fraktur"/>
              </m:rPr>
              <m:t>c</m:t>
            </m:r>
          </m:e>
          <m:sub>
            <m:r>
              <m:t>0</m:t>
            </m:r>
          </m:sub>
        </m:sSub>
        <m:r>
          <m:rPr>
            <m:sty m:val="p"/>
          </m:rPr>
          <m:t>=</m:t>
        </m:r>
        <m:r>
          <m:t>0</m:t>
        </m:r>
      </m:oMath>
      <w:r>
        <w:t xml:space="preserve">,</w:t>
      </w:r>
      <w:r>
        <w:t xml:space="preserve"> </w:t>
      </w:r>
      <m:oMath>
        <m:sSub>
          <m:e>
            <m:r>
              <m:rPr>
                <m:sty m:val="p"/>
              </m:rPr>
              <m:t>ℵ</m:t>
            </m:r>
          </m:e>
          <m:sub>
            <m:r>
              <m:t>0</m:t>
            </m:r>
          </m:sub>
        </m:sSub>
        <m:r>
          <m:rPr>
            <m:sty m:val="p"/>
          </m:rPr>
          <m:t>=</m:t>
        </m:r>
        <m:r>
          <m:t>2</m:t>
        </m:r>
      </m:oMath>
      <w:r>
        <w:t xml:space="preserve">,</w:t>
      </w:r>
      <w:r>
        <w:t xml:space="preserve"> </w:t>
      </w:r>
      <m:oMath>
        <m:sSub>
          <m:e>
            <m:r>
              <m:rPr>
                <m:sty m:val="p"/>
                <m:scr m:val="fraktur"/>
              </m:rPr>
              <m:t>D</m:t>
            </m:r>
          </m:e>
          <m:sub>
            <m:r>
              <m:t>0</m:t>
            </m:r>
          </m:sub>
        </m:sSub>
        <m:r>
          <m:rPr>
            <m:sty m:val="p"/>
          </m:rPr>
          <m:t>=</m:t>
        </m:r>
        <m:r>
          <m:t>3</m:t>
        </m:r>
      </m:oMath>
      <w:r>
        <w:t xml:space="preserve">. Then</w:t>
      </w:r>
      <w:r>
        <w:t xml:space="preserve"> </w:t>
      </w:r>
      <m:oMath>
        <m:sSub>
          <m:e>
            <m:r>
              <m:t>δ</m:t>
            </m:r>
          </m:e>
          <m:sub>
            <m:r>
              <m:rPr>
                <m:sty m:val="p"/>
              </m:rPr>
              <m:t>*</m:t>
            </m:r>
          </m:sub>
        </m:sSub>
        <m:r>
          <m:rPr>
            <m:sty m:val="p"/>
          </m:rPr>
          <m:t>=</m:t>
        </m:r>
        <m:r>
          <m:t>1</m:t>
        </m:r>
      </m:oMath>
      <w:r>
        <w:t xml:space="preserve"> </w:t>
      </w:r>
      <w:r>
        <w:t xml:space="preserve">and</w:t>
      </w:r>
      <w:r>
        <w:t xml:space="preserve"> </w:t>
      </w:r>
      <m:oMath>
        <m:sSub>
          <m:e>
            <m:r>
              <m:t>H</m:t>
            </m:r>
          </m:e>
          <m:sub>
            <m:r>
              <m:rPr>
                <m:sty m:val="p"/>
              </m:rPr>
              <m:t>*</m:t>
            </m:r>
          </m:sub>
        </m:sSub>
        <m:r>
          <m:rPr>
            <m:sty m:val="p"/>
          </m:rPr>
          <m:t>=</m:t>
        </m:r>
        <m:r>
          <m:t>2</m:t>
        </m:r>
      </m:oMath>
      <w:r>
        <w:t xml:space="preserve">. With the same complete formation data, choose</w:t>
      </w:r>
      <w:r>
        <w:t xml:space="preserve"> </w:t>
      </w:r>
      <m:oMath>
        <m:r>
          <m:t>M</m:t>
        </m:r>
        <m:r>
          <m:rPr>
            <m:sty m:val="p"/>
          </m:rPr>
          <m:t>=</m:t>
        </m:r>
        <m:r>
          <m:t>2</m:t>
        </m:r>
      </m:oMath>
      <w:r>
        <w:t xml:space="preserve"> </w:t>
      </w:r>
      <w:r>
        <w:t xml:space="preserve">and a neutral map</w:t>
      </w:r>
      <w:r>
        <w:t xml:space="preserve"> </w:t>
      </w:r>
      <m:oMath>
        <m:r>
          <m:t>L</m:t>
        </m:r>
        <m:r>
          <m:rPr>
            <m:sty m:val="p"/>
          </m:rPr>
          <m:t>=</m:t>
        </m:r>
        <m:r>
          <m:t>1</m:t>
        </m:r>
      </m:oMath>
      <w:r>
        <w:t xml:space="preserve"> </w:t>
      </w:r>
      <w:r>
        <w:t xml:space="preserve">or</w:t>
      </w:r>
      <w:r>
        <w:t xml:space="preserve"> </w:t>
      </w:r>
      <m:oMath>
        <m:r>
          <m:t>L</m:t>
        </m:r>
        <m:r>
          <m:rPr>
            <m:sty m:val="p"/>
          </m:rPr>
          <m:t>=</m:t>
        </m:r>
        <m:r>
          <m:t>2</m:t>
        </m:r>
      </m:oMath>
      <w:r>
        <w:t xml:space="preserve"> </w:t>
      </w:r>
      <w:r>
        <w:t xml:space="preserve">in</w:t>
      </w:r>
      <w:r>
        <w:t xml:space="preserve"> </w:t>
      </w:r>
      <m:oMath>
        <m:sSub>
          <m:e>
            <m:r>
              <m:t>J</m:t>
            </m:r>
          </m:e>
          <m:sub>
            <m:r>
              <m:t>L</m:t>
            </m:r>
          </m:sub>
        </m:sSub>
        <m:d>
          <m:dPr>
            <m:begChr m:val="("/>
            <m:endChr m:val=")"/>
            <m:sepChr m:val=""/>
            <m:grow/>
          </m:dPr>
          <m:e>
            <m:r>
              <m:t>D</m:t>
            </m:r>
            <m:r>
              <m:rPr>
                <m:sty m:val="p"/>
              </m:rPr>
              <m:t>,</m:t>
            </m:r>
            <m:r>
              <m:t>η</m:t>
            </m:r>
          </m:e>
        </m:d>
        <m:r>
          <m:rPr>
            <m:sty m:val="p"/>
          </m:rPr>
          <m:t>=</m:t>
        </m:r>
        <m:f>
          <m:fPr>
            <m:type m:val="bar"/>
          </m:fPr>
          <m:num>
            <m:r>
              <m:t>1</m:t>
            </m:r>
          </m:num>
          <m:den>
            <m:r>
              <m:t>2</m:t>
            </m:r>
          </m:den>
        </m:f>
        <m:r>
          <m:rPr>
            <m:sty m:val="p"/>
          </m:rPr>
          <m:t>∥</m:t>
        </m:r>
        <m:r>
          <m:t>D</m:t>
        </m:r>
        <m:r>
          <m:rPr>
            <m:sty m:val="p"/>
          </m:rPr>
          <m:t>−</m:t>
        </m:r>
        <m:r>
          <m:t>L</m:t>
        </m:r>
        <m:r>
          <m:t>η</m:t>
        </m:r>
        <m:sSubSup>
          <m:e>
            <m:r>
              <m:rPr>
                <m:sty m:val="p"/>
              </m:rPr>
              <m:t>∥</m:t>
            </m:r>
          </m:e>
          <m:sub>
            <m:sSub>
              <m:e>
                <m:r>
                  <m:t>H</m:t>
                </m:r>
              </m:e>
              <m:sub>
                <m:r>
                  <m:rPr>
                    <m:sty m:val="p"/>
                  </m:rPr>
                  <m:t>*</m:t>
                </m:r>
              </m:sub>
            </m:sSub>
          </m:sub>
          <m:sup>
            <m:r>
              <m:t>2</m:t>
            </m:r>
          </m:sup>
        </m:sSubSup>
        <m:r>
          <m:rPr>
            <m:sty m:val="p"/>
          </m:rPr>
          <m:t>+</m:t>
        </m:r>
        <m:f>
          <m:fPr>
            <m:type m:val="bar"/>
          </m:fPr>
          <m:num>
            <m:r>
              <m:t>1</m:t>
            </m:r>
          </m:num>
          <m:den>
            <m:r>
              <m:t>2</m:t>
            </m:r>
          </m:den>
        </m:f>
        <m:r>
          <m:rPr>
            <m:sty m:val="p"/>
          </m:rPr>
          <m:t>∥</m:t>
        </m:r>
        <m:r>
          <m:t>η</m:t>
        </m:r>
        <m:sSubSup>
          <m:e>
            <m:r>
              <m:rPr>
                <m:sty m:val="p"/>
              </m:rPr>
              <m:t>∥</m:t>
            </m:r>
          </m:e>
          <m:sub>
            <m:r>
              <m:t>M</m:t>
            </m:r>
          </m:sub>
          <m:sup>
            <m:r>
              <m:t>2</m:t>
            </m:r>
          </m:sup>
        </m:sSubSup>
      </m:oMath>
      <w:r>
        <w:t xml:space="preserve">. Their reduced energies are respectively</w:t>
      </w:r>
      <w:r>
        <w:t xml:space="preserve"> </w:t>
      </w:r>
      <m:oMath>
        <m:sSup>
          <m:e>
            <m:r>
              <m:t>D</m:t>
            </m:r>
          </m:e>
          <m:sup>
            <m:r>
              <m:t>2</m:t>
            </m:r>
          </m:sup>
        </m:sSup>
        <m:r>
          <m:rPr>
            <m:sty m:val="p"/>
          </m:rPr>
          <m:t>/</m:t>
        </m:r>
        <m:r>
          <m:t>2</m:t>
        </m:r>
      </m:oMath>
      <w:r>
        <w:t xml:space="preserve"> </w:t>
      </w:r>
      <w:r>
        <w:t xml:space="preserve">and</w:t>
      </w:r>
      <w:r>
        <w:t xml:space="preserve"> </w:t>
      </w:r>
      <m:oMath>
        <m:sSup>
          <m:e>
            <m:r>
              <m:t>D</m:t>
            </m:r>
          </m:e>
          <m:sup>
            <m:r>
              <m:t>2</m:t>
            </m:r>
          </m:sup>
        </m:sSup>
        <m:r>
          <m:rPr>
            <m:sty m:val="p"/>
          </m:rPr>
          <m:t>/</m:t>
        </m:r>
        <m:r>
          <m:t>5</m:t>
        </m:r>
      </m:oMath>
      <w:r>
        <w:t xml:space="preserve">. Both have a positive joint Hessian and the general old neutral-completion form after whitening. L0–NC chooses</w:t>
      </w:r>
      <w:r>
        <w:t xml:space="preserve"> </w:t>
      </w:r>
      <m:oMath>
        <m:r>
          <m:t>L</m:t>
        </m:r>
        <m:r>
          <m:rPr>
            <m:sty m:val="p"/>
          </m:rPr>
          <m:t>=</m:t>
        </m:r>
        <m:sSubSup>
          <m:e>
            <m:r>
              <m:t>H</m:t>
            </m:r>
          </m:e>
          <m:sub>
            <m:r>
              <m:rPr>
                <m:sty m:val="p"/>
              </m:rPr>
              <m:t>*</m:t>
            </m:r>
          </m:sub>
          <m:sup>
            <m:r>
              <m:rPr>
                <m:sty m:val="p"/>
              </m:rPr>
              <m:t>−</m:t>
            </m:r>
            <m:r>
              <m:t>1</m:t>
            </m:r>
          </m:sup>
        </m:sSubSup>
        <m:sSub>
          <m:e>
            <m:r>
              <m:rPr>
                <m:sty m:val="p"/>
              </m:rPr>
              <m:t>ℵ</m:t>
            </m:r>
          </m:e>
          <m:sub>
            <m:r>
              <m:t>0</m:t>
            </m:r>
          </m:sub>
        </m:sSub>
        <m:r>
          <m:rPr>
            <m:sty m:val="p"/>
          </m:rPr>
          <m:t>=</m:t>
        </m:r>
        <m:r>
          <m:t>1</m:t>
        </m:r>
      </m:oMath>
      <w:r>
        <w:t xml:space="preserve"> </w:t>
      </w:r>
      <w:r>
        <w:t xml:space="preserve">by its</w:t>
      </w:r>
      <w:r>
        <w:t xml:space="preserve"> </w:t>
      </w:r>
      <w:r>
        <w:rPr>
          <w:iCs/>
          <w:i/>
        </w:rPr>
        <w:t xml:space="preserve">new</w:t>
      </w:r>
      <w:r>
        <w:t xml:space="preserve"> </w:t>
      </w:r>
      <w:r>
        <w:t xml:space="preserve">mixed-Hessian clause. Even fixing</w:t>
      </w:r>
      <w:r>
        <w:t xml:space="preserve"> </w:t>
      </w:r>
      <m:oMath>
        <m:r>
          <m:t>L</m:t>
        </m:r>
        <m:r>
          <m:rPr>
            <m:sty m:val="p"/>
          </m:rPr>
          <m:t>=</m:t>
        </m:r>
        <m:r>
          <m:t>1</m:t>
        </m:r>
      </m:oMath>
      <w:r>
        <w:t xml:space="preserve"> </w:t>
      </w:r>
      <w:r>
        <w:t xml:space="preserve">does not fix the response without NC2:</w:t>
      </w:r>
      <w:r>
        <w:t xml:space="preserve"> </w:t>
      </w:r>
      <m:oMath>
        <m:r>
          <m:t>M</m:t>
        </m:r>
        <m:r>
          <m:rPr>
            <m:sty m:val="p"/>
          </m:rPr>
          <m:t>=</m:t>
        </m:r>
        <m:r>
          <m:t>4</m:t>
        </m:r>
      </m:oMath>
      <w:r>
        <w:t xml:space="preserve"> </w:t>
      </w:r>
      <w:r>
        <w:t xml:space="preserve">gives</w:t>
      </w:r>
      <w:r>
        <w:t xml:space="preserve"> </w:t>
      </w:r>
      <m:oMath>
        <m:r>
          <m:t>2</m:t>
        </m:r>
        <m:sSup>
          <m:e>
            <m:r>
              <m:t>D</m:t>
            </m:r>
          </m:e>
          <m:sup>
            <m:r>
              <m:t>2</m:t>
            </m:r>
          </m:sup>
        </m:sSup>
        <m:r>
          <m:rPr>
            <m:sty m:val="p"/>
          </m:rPr>
          <m:t>/</m:t>
        </m:r>
        <m:r>
          <m:t>3</m:t>
        </m:r>
      </m:oMath>
      <w:r>
        <w:t xml:space="preserve">.</w:t>
      </w:r>
      <w:r>
        <w:t xml:space="preserve"> </w:t>
      </w:r>
      <m:oMath>
        <m:r>
          <m:rPr>
            <m:sty m:val="p"/>
          </m:rPr>
          <m:t>▫</m:t>
        </m:r>
      </m:oMath>
    </w:p>
    <w:p>
      <w:pPr>
        <w:pStyle w:val="BodyText"/>
      </w:pPr>
      <w:r>
        <w:t xml:space="preserve">The exact parent displacement energy in this scalar example is</w:t>
      </w:r>
    </w:p>
    <w:p>
      <w:pPr>
        <w:pStyle w:val="Equation"/>
        <w:keepLines/>
      </w:pPr>
      <m:oMathPara>
        <m:oMathParaPr>
          <m:jc m:val="center"/>
        </m:oMathParaPr>
        <m:oMath>
          <m:sSub>
            <m:e>
              <m:r>
                <m:t>F</m:t>
              </m:r>
            </m:e>
            <m:sub>
              <m:r>
                <m:t>0</m:t>
              </m:r>
            </m:sub>
          </m:sSub>
          <m:d>
            <m:dPr>
              <m:begChr m:val="("/>
              <m:endChr m:val=")"/>
              <m:sepChr m:val=""/>
              <m:grow/>
            </m:dPr>
            <m:e>
              <m:r>
                <m:t>1</m:t>
              </m:r>
              <m:r>
                <m:rPr>
                  <m:sty m:val="p"/>
                </m:rPr>
                <m:t>+</m:t>
              </m:r>
              <m:r>
                <m:t>z</m:t>
              </m:r>
            </m:e>
          </m:d>
          <m:r>
            <m:rPr>
              <m:sty m:val="p"/>
            </m:rPr>
            <m:t>−</m:t>
          </m:r>
          <m:sSub>
            <m:e>
              <m:r>
                <m:t>F</m:t>
              </m:r>
            </m:e>
            <m:sub>
              <m:r>
                <m:t>0</m:t>
              </m:r>
            </m:sub>
          </m:sSub>
          <m:d>
            <m:dPr>
              <m:begChr m:val="("/>
              <m:endChr m:val=")"/>
              <m:sepChr m:val=""/>
              <m:grow/>
            </m:dPr>
            <m:e>
              <m:r>
                <m:t>1</m:t>
              </m:r>
            </m:e>
          </m:d>
          <m:r>
            <m:rPr>
              <m:sty m:val="p"/>
            </m:rPr>
            <m:t>=</m:t>
          </m:r>
          <m:sSup>
            <m:e>
              <m:r>
                <m:t>z</m:t>
              </m:r>
            </m:e>
            <m:sup>
              <m:r>
                <m:t>2</m:t>
              </m:r>
            </m:sup>
          </m:sSup>
          <m:r>
            <m:rPr>
              <m:sty m:val="p"/>
            </m:rPr>
            <m:t>+</m:t>
          </m:r>
          <m:sSup>
            <m:e>
              <m:r>
                <m:t>z</m:t>
              </m:r>
            </m:e>
            <m:sup>
              <m:r>
                <m:t>3</m:t>
              </m:r>
            </m:sup>
          </m:sSup>
          <m:r>
            <m:rPr>
              <m:sty m:val="p"/>
            </m:rPr>
            <m:t>+</m:t>
          </m:r>
          <m:f>
            <m:fPr>
              <m:type m:val="lin"/>
            </m:fPr>
            <m:num>
              <m:r>
                <m:t>1</m:t>
              </m:r>
            </m:num>
            <m:den>
              <m:r>
                <m:t>4</m:t>
              </m:r>
            </m:den>
          </m:f>
          <m:sSup>
            <m:e>
              <m:r>
                <m:t>z</m:t>
              </m:r>
            </m:e>
            <m:sup>
              <m:r>
                <m:t>4</m:t>
              </m:r>
            </m:sup>
          </m:sSup>
          <m:r>
            <m:rPr>
              <m:sty m:val="p"/>
            </m:rPr>
            <m:t>.</m:t>
          </m:r>
        </m:oMath>
      </m:oMathPara>
      <w:r>
        <w:rPr>
          <w:rFonts w:ascii="Cambria" w:hAnsi="Cambria"/>
          <w:sz w:val="18"/>
        </w:rPr>
        <w:tab/>
        <w:t>(13)</w:t>
      </w:r>
    </w:p>
    <w:p>
      <w:pPr>
        <w:pStyle w:val="FirstParagraph"/>
      </w:pPr>
      <w:r>
        <w:t xml:space="preserve">Thus (11) is an exact</w:t>
      </w:r>
      <w:r>
        <w:t xml:space="preserve"> </w:t>
      </w:r>
      <w:r>
        <w:rPr>
          <w:iCs/>
          <w:i/>
        </w:rPr>
        <w:t xml:space="preserve">quadratic tangent-sector</w:t>
      </w:r>
      <w:r>
        <w:t xml:space="preserve"> </w:t>
      </w:r>
      <w:r>
        <w:t xml:space="preserve">identity, not an equality with the global quartic parent for finite displacement.</w:t>
      </w:r>
    </w:p>
    <w:p>
      <w:pPr>
        <w:pStyle w:val="BodyText"/>
      </w:pPr>
      <w:r>
        <w:t xml:space="preserve">For a matrix example with genuine cross-mode neutral geometry, take</w:t>
      </w:r>
    </w:p>
    <w:p>
      <w:pPr>
        <w:pStyle w:val="Equation"/>
        <w:keepLines/>
      </w:pPr>
      <m:oMathPara>
        <m:oMathParaPr>
          <m:jc m:val="center"/>
        </m:oMathParaPr>
        <m:oMath>
          <m:sSub>
            <m:e>
              <m:r>
                <m:t>K</m:t>
              </m:r>
            </m:e>
            <m:sub>
              <m:r>
                <m:t>0</m:t>
              </m:r>
            </m:sub>
          </m:sSub>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1</m:t>
                    </m:r>
                  </m:e>
                  <m:e>
                    <m:r>
                      <m:t>0</m:t>
                    </m:r>
                  </m:e>
                </m:mr>
                <m:mr>
                  <m:e>
                    <m:r>
                      <m:t>0</m:t>
                    </m:r>
                  </m:e>
                  <m:e>
                    <m:r>
                      <m:t>2</m:t>
                    </m:r>
                  </m:e>
                </m:mr>
              </m:m>
            </m:e>
          </m:d>
          <m:r>
            <m:rPr>
              <m:sty m:val="p"/>
            </m:rPr>
            <m:t>,</m:t>
          </m:r>
          <m:r>
            <m:t> </m:t>
          </m:r>
          <m:sSub>
            <m:e>
              <m:r>
                <m:rPr>
                  <m:sty m:val="p"/>
                </m:rPr>
                <m:t>ℵ</m:t>
              </m:r>
            </m:e>
            <m:sub>
              <m:r>
                <m:t>0</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1</m:t>
                    </m:r>
                    <m:r>
                      <m:rPr>
                        <m:sty m:val="p"/>
                      </m:rPr>
                      <m:t>/</m:t>
                    </m:r>
                    <m:r>
                      <m:t>4</m:t>
                    </m:r>
                  </m:e>
                </m:mr>
                <m:mr>
                  <m:e>
                    <m:r>
                      <m:t>1</m:t>
                    </m:r>
                    <m:r>
                      <m:rPr>
                        <m:sty m:val="p"/>
                      </m:rPr>
                      <m:t>/</m:t>
                    </m:r>
                    <m:r>
                      <m:t>4</m:t>
                    </m:r>
                  </m:e>
                  <m:e>
                    <m:r>
                      <m:t>1</m:t>
                    </m:r>
                  </m:e>
                </m:mr>
              </m:m>
            </m:e>
          </m:d>
          <m:r>
            <m:rPr>
              <m:sty m:val="p"/>
            </m:rPr>
            <m:t>,</m:t>
          </m:r>
          <m:r>
            <m:t> </m:t>
          </m:r>
          <m:sSub>
            <m:e>
              <m:r>
                <m:rPr>
                  <m:sty m:val="p"/>
                  <m:scr m:val="fraktur"/>
                </m:rPr>
                <m:t>c</m:t>
              </m:r>
            </m:e>
            <m:sub>
              <m:r>
                <m:t>0</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t>0</m:t>
                    </m:r>
                  </m:e>
                </m:mr>
                <m:mr>
                  <m:e>
                    <m:r>
                      <m:t>0</m:t>
                    </m:r>
                  </m:e>
                  <m:e>
                    <m:r>
                      <m:t>3</m:t>
                    </m:r>
                  </m:e>
                </m:mr>
              </m:m>
            </m:e>
          </m:d>
          <m:r>
            <m:rPr>
              <m:sty m:val="p"/>
            </m:rPr>
            <m:t>,</m:t>
          </m:r>
          <m:r>
            <m:t> </m:t>
          </m:r>
          <m:sSub>
            <m:e>
              <m:r>
                <m:rPr>
                  <m:sty m:val="p"/>
                  <m:scr m:val="fraktur"/>
                </m:rPr>
                <m:t>D</m:t>
              </m:r>
            </m:e>
            <m:sub>
              <m:r>
                <m:t>0</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2</m:t>
                    </m:r>
                  </m:e>
                  <m:e>
                    <m:r>
                      <m:t>1</m:t>
                    </m:r>
                    <m:r>
                      <m:rPr>
                        <m:sty m:val="p"/>
                      </m:rPr>
                      <m:t>/</m:t>
                    </m:r>
                    <m:r>
                      <m:t>4</m:t>
                    </m:r>
                  </m:e>
                </m:mr>
                <m:mr>
                  <m:e>
                    <m:r>
                      <m:t>1</m:t>
                    </m:r>
                    <m:r>
                      <m:rPr>
                        <m:sty m:val="p"/>
                      </m:rPr>
                      <m:t>/</m:t>
                    </m:r>
                    <m:r>
                      <m:t>4</m:t>
                    </m:r>
                  </m:e>
                  <m:e>
                    <m:r>
                      <m:t>2</m:t>
                    </m:r>
                  </m:e>
                </m:mr>
              </m:m>
            </m:e>
          </m:d>
          <m:r>
            <m:rPr>
              <m:sty m:val="p"/>
            </m:rPr>
            <m:t>.</m:t>
          </m:r>
        </m:oMath>
      </m:oMathPara>
      <w:r>
        <w:rPr>
          <w:rFonts w:ascii="Cambria" w:hAnsi="Cambria"/>
          <w:sz w:val="18"/>
        </w:rPr>
        <w:tab/>
        <w:t>(14)</w:t>
      </w:r>
    </w:p>
    <w:p>
      <w:pPr>
        <w:pStyle w:val="FirstParagraph"/>
      </w:pPr>
      <w:r>
        <w:t xml:space="preserve">These capacities are positive semidefinite and satisfy (2). At</w:t>
      </w:r>
      <w:r>
        <w:t xml:space="preserve"> </w:t>
      </w:r>
      <m:oMath>
        <m:sSub>
          <m:e>
            <m:r>
              <m:t>δ</m:t>
            </m:r>
          </m:e>
          <m:sub>
            <m:r>
              <m:rPr>
                <m:sty m:val="p"/>
              </m:rPr>
              <m:t>*</m:t>
            </m:r>
          </m:sub>
        </m:sSub>
        <m:r>
          <m:rPr>
            <m:sty m:val="p"/>
          </m:rPr>
          <m:t>=</m:t>
        </m:r>
        <m:sSub>
          <m:e>
            <m:r>
              <m:t>e</m:t>
            </m:r>
          </m:e>
          <m:sub>
            <m:r>
              <m:t>1</m:t>
            </m:r>
          </m:sub>
        </m:sSub>
      </m:oMath>
      <w:r>
        <w:t xml:space="preserve">,</w:t>
      </w:r>
      <w:r>
        <w:t xml:space="preserve"> </w:t>
      </w:r>
      <m:oMath>
        <m:sSub>
          <m:e>
            <m:r>
              <m:t>H</m:t>
            </m:r>
          </m:e>
          <m:sub>
            <m:r>
              <m:rPr>
                <m:sty m:val="p"/>
              </m:rPr>
              <m:t>*</m:t>
            </m:r>
          </m:sub>
        </m:sSub>
        <m:r>
          <m:rPr>
            <m:sty m:val="p"/>
          </m:rPr>
          <m:t>=</m:t>
        </m:r>
        <m:r>
          <m:rPr>
            <m:sty m:val="p"/>
          </m:rPr>
          <m:t>diag</m:t>
        </m:r>
        <m:d>
          <m:dPr>
            <m:begChr m:val="("/>
            <m:endChr m:val=")"/>
            <m:sepChr m:val=""/>
            <m:grow/>
          </m:dPr>
          <m:e>
            <m:r>
              <m:t>2</m:t>
            </m:r>
            <m:r>
              <m:rPr>
                <m:sty m:val="p"/>
              </m:rPr>
              <m:t>,</m:t>
            </m:r>
            <m:r>
              <m:t>3</m:t>
            </m:r>
          </m:e>
        </m:d>
      </m:oMath>
      <w:r>
        <w:t xml:space="preserve"> </w:t>
      </w:r>
      <w:r>
        <w:t xml:space="preserve">and</w:t>
      </w:r>
    </w:p>
    <w:p>
      <w:pPr>
        <w:pStyle w:val="Equation"/>
        <w:keepLines/>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4</m:t>
                        </m:r>
                        <m:rad>
                          <m:radPr>
                            <m:degHide m:val="on"/>
                          </m:radPr>
                          <m:deg/>
                          <m:e>
                            <m:r>
                              <m:t>6</m:t>
                            </m:r>
                          </m:e>
                        </m:rad>
                      </m:den>
                    </m:f>
                  </m:e>
                </m:mr>
                <m:mr>
                  <m:e>
                    <m:f>
                      <m:fPr>
                        <m:type m:val="bar"/>
                      </m:fPr>
                      <m:num>
                        <m:r>
                          <m:t>1</m:t>
                        </m:r>
                      </m:num>
                      <m:den>
                        <m:r>
                          <m:t>4</m:t>
                        </m:r>
                        <m:rad>
                          <m:radPr>
                            <m:degHide m:val="on"/>
                          </m:radPr>
                          <m:deg/>
                          <m:e>
                            <m:r>
                              <m:t>6</m:t>
                            </m:r>
                          </m:e>
                        </m:rad>
                      </m:den>
                    </m:f>
                  </m:e>
                  <m:e>
                    <m:f>
                      <m:fPr>
                        <m:type m:val="bar"/>
                      </m:fPr>
                      <m:num>
                        <m:r>
                          <m:t>1</m:t>
                        </m:r>
                      </m:num>
                      <m:den>
                        <m:r>
                          <m:t>3</m:t>
                        </m:r>
                      </m:den>
                    </m:f>
                  </m:e>
                </m:mr>
              </m:m>
            </m:e>
          </m:d>
          <m:r>
            <m:rPr>
              <m:sty m:val="p"/>
            </m:rPr>
            <m:t>,</m:t>
          </m:r>
          <m:r>
            <m:t> </m:t>
          </m:r>
          <m:r>
            <m:t>0</m:t>
          </m:r>
          <m:r>
            <m:rPr>
              <m:sty m:val="p"/>
            </m:rPr>
            <m:t>&lt;</m:t>
          </m:r>
          <m:r>
            <m:t>A</m:t>
          </m:r>
          <m:r>
            <m:rPr>
              <m:sty m:val="p"/>
            </m:rPr>
            <m:t>&lt;</m:t>
          </m:r>
          <m:r>
            <m:t>I</m:t>
          </m:r>
          <m:r>
            <m:rPr>
              <m:sty m:val="p"/>
            </m:rPr>
            <m:t>,</m:t>
          </m:r>
          <m:r>
            <m:t> </m:t>
          </m:r>
          <m:sSub>
            <m:e>
              <m:r>
                <m:t>Y</m:t>
              </m:r>
            </m:e>
            <m:sub>
              <m:r>
                <m:t>12</m:t>
              </m:r>
            </m:sub>
          </m:sSub>
          <m:r>
            <m:rPr>
              <m:sty m:val="p"/>
            </m:rPr>
            <m:t>=</m:t>
          </m:r>
          <m:f>
            <m:fPr>
              <m:type m:val="bar"/>
            </m:fPr>
            <m:num>
              <m:r>
                <m:t>5</m:t>
              </m:r>
            </m:num>
            <m:den>
              <m:r>
                <m:t>24</m:t>
              </m:r>
              <m:rad>
                <m:radPr>
                  <m:degHide m:val="on"/>
                </m:radPr>
                <m:deg/>
                <m:e>
                  <m:r>
                    <m:t>6</m:t>
                  </m:r>
                </m:e>
              </m:rad>
            </m:den>
          </m:f>
          <m:r>
            <m:rPr>
              <m:sty m:val="p"/>
            </m:rPr>
            <m:t>,</m:t>
          </m:r>
          <m:r>
            <m:t> </m:t>
          </m:r>
          <m:sSub>
            <m:e>
              <m:d>
                <m:dPr>
                  <m:begChr m:val="["/>
                  <m:endChr m:val="]"/>
                  <m:sepChr m:val=""/>
                  <m:grow/>
                </m:dPr>
                <m:e>
                  <m:sSub>
                    <m:e>
                      <m:r>
                        <m:t>K</m:t>
                      </m:r>
                    </m:e>
                    <m:sub>
                      <m:r>
                        <m:t>0</m:t>
                      </m:r>
                    </m:sub>
                  </m:sSub>
                  <m:r>
                    <m:rPr>
                      <m:sty m:val="p"/>
                    </m:rPr>
                    <m:t>,</m:t>
                  </m:r>
                  <m:r>
                    <m:t>Y</m:t>
                  </m:r>
                </m:e>
              </m:d>
            </m:e>
            <m:sub>
              <m:r>
                <m:t>12</m:t>
              </m:r>
            </m:sub>
          </m:sSub>
          <m:r>
            <m:rPr>
              <m:sty m:val="p"/>
            </m:rPr>
            <m:t>=</m:t>
          </m:r>
          <m:r>
            <m:rPr>
              <m:sty m:val="p"/>
            </m:rPr>
            <m:t>−</m:t>
          </m:r>
          <m:f>
            <m:fPr>
              <m:type m:val="bar"/>
            </m:fPr>
            <m:num>
              <m:r>
                <m:t>5</m:t>
              </m:r>
            </m:num>
            <m:den>
              <m:r>
                <m:t>8</m:t>
              </m:r>
              <m:rad>
                <m:radPr>
                  <m:degHide m:val="on"/>
                </m:radPr>
                <m:deg/>
                <m:e>
                  <m:r>
                    <m:t>6</m:t>
                  </m:r>
                </m:e>
              </m:rad>
            </m:den>
          </m:f>
          <m:r>
            <m:rPr>
              <m:sty m:val="p"/>
            </m:rPr>
            <m:t>≠</m:t>
          </m:r>
          <m:r>
            <m:t>0</m:t>
          </m:r>
          <m:r>
            <m:rPr>
              <m:sty m:val="p"/>
            </m:rPr>
            <m:t>.</m:t>
          </m:r>
        </m:oMath>
      </m:oMathPara>
      <w:r>
        <w:rPr>
          <w:rFonts w:ascii="Cambria" w:hAnsi="Cambria"/>
          <w:sz w:val="18"/>
        </w:rPr>
        <w:tab/>
        <w:t>(15)</w:t>
      </w:r>
    </w:p>
    <w:p>
      <w:pPr>
        <w:pStyle w:val="FirstParagraph"/>
      </w:pPr>
      <w:r>
        <w:t xml:space="preserve">The source law consequently need not erase neutral structure or force</w:t>
      </w:r>
      <w:r>
        <w:t xml:space="preserve"> </w:t>
      </w:r>
      <m:oMath>
        <m:r>
          <m:t>Y</m:t>
        </m:r>
      </m:oMath>
      <w:r>
        <w:t xml:space="preserve"> </w:t>
      </w:r>
      <w:r>
        <w:t xml:space="preserve">to commute with formation. Noncommutation permits, but does not guarantee on every persistent support, the strict finite novelty analyzed in [5]. Figure 1 displays only analytic scalar evaluations of (11); no measurements or synthetic validation are inferred from that surface.</w:t>
      </w:r>
    </w:p>
    <w:p>
      <w:pPr>
        <w:pStyle w:val="CaptionedFigure"/>
        <w:keepNext/>
        <w:jc w:val="center"/>
      </w:pPr>
      <w:r>
        <w:drawing>
          <wp:inline>
            <wp:extent cx="3200400" cy="2956531"/>
            <wp:effectExtent b="0" l="0" r="0" t="0"/>
            <wp:docPr descr="" title="" id="27" name="Picture"/>
            <a:graphic>
              <a:graphicData uri="http://schemas.openxmlformats.org/drawingml/2006/picture">
                <pic:pic>
                  <pic:nvPicPr>
                    <pic:cNvPr descr="figures/neutral_response_surface.png" id="28" name="Picture"/>
                    <pic:cNvPicPr>
                      <a:picLocks noChangeArrowheads="1" noChangeAspect="1"/>
                    </pic:cNvPicPr>
                  </pic:nvPicPr>
                  <pic:blipFill>
                    <a:blip r:embed="rId26"/>
                    <a:stretch>
                      <a:fillRect/>
                    </a:stretch>
                  </pic:blipFill>
                  <pic:spPr bwMode="auto">
                    <a:xfrm>
                      <a:off x="0" y="0"/>
                      <a:ext cx="3200400" cy="2956531"/>
                    </a:xfrm>
                    <a:prstGeom prst="rect">
                      <a:avLst/>
                    </a:prstGeom>
                    <a:noFill/>
                    <a:ln w="9525">
                      <a:noFill/>
                      <a:headEnd/>
                      <a:tailEnd/>
                    </a:ln>
                  </pic:spPr>
                </pic:pic>
              </a:graphicData>
            </a:graphic>
          </wp:inline>
        </w:drawing>
      </w:r>
    </w:p>
    <w:p>
      <w:pPr>
        <w:pStyle w:val="CaptionBFG"/>
        <w:spacing w:after="160"/>
      </w:pPr>
      <w:r>
        <w:t>Figure 1. Analytic reduced tangent energy E(D,n)=D²/[1+(n/2)²] for H*=2 and neutral capacity n. The marked n=2 slice is the scalar example in Proposition 5.1. The surface shows dependence on n; it does not select n from the earlier Level-0 formation rule.</w:t>
      </w:r>
    </w:p>
    <w:bookmarkEnd w:id="29"/>
    <w:bookmarkStart w:id="30" w:name="X007b9761236436c4c7c46092625313c9692c694"/>
    <w:p>
      <w:pPr>
        <w:pStyle w:val="Heading1"/>
      </w:pPr>
      <w:r>
        <w:rPr>
          <w:rStyle w:val="SectionNumber"/>
        </w:rPr>
        <w:t xml:space="preserve">6</w:t>
      </w:r>
      <w:r>
        <w:tab/>
      </w:r>
      <w:r>
        <w:t xml:space="preserve">Declared finite successor and a conditional closure theorem</w:t>
      </w:r>
    </w:p>
    <w:p>
      <w:pPr>
        <w:pStyle w:val="FirstParagraph"/>
      </w:pPr>
      <w:r>
        <w:t xml:space="preserve">The source rule supplies an initial neutral channel on its domain. To iterate a finite BFG state, three additional</w:t>
      </w:r>
      <w:r>
        <w:t xml:space="preserve"> </w:t>
      </w:r>
      <w:r>
        <w:rPr>
          <w:iCs/>
          <w:i/>
        </w:rPr>
        <w:t xml:space="preserve">already declared</w:t>
      </w:r>
      <w:r>
        <w:t xml:space="preserve"> </w:t>
      </w:r>
      <w:r>
        <w:t xml:space="preserve">role identifications remain necessary [4,6]. We collect them as a proposed coherent contract, rather than pretend they follow from (2).</w:t>
      </w:r>
      <w:r>
        <w:t xml:space="preserve"> </w:t>
      </w:r>
      <w:r>
        <w:rPr>
          <w:bCs/>
          <w:b/>
        </w:rPr>
        <w:t xml:space="preserve">Definition 6.1 (Finite reclosure contract).</w:t>
      </w:r>
      <w:r>
        <w:t xml:space="preserve"> </w:t>
      </w:r>
      <w:r>
        <w:t xml:space="preserve">Let a finite typed state</w:t>
      </w:r>
      <w:r>
        <w:t xml:space="preserve"> </w:t>
      </w:r>
      <m:oMath>
        <m:r>
          <m:t>Ξ</m:t>
        </m:r>
      </m:oMath>
      <w:r>
        <w:t xml:space="preserve"> </w:t>
      </w:r>
      <w:r>
        <w:t xml:space="preserve">carry Hermitian capacities, a nonzero positive formation density, a unit-trace positive witness density, a positive neutral load, and a power-bounded recursion. At each source step, apply the exact existing admission and persistence gates. On a nonterminal step let</w:t>
      </w:r>
      <w:r>
        <w:t xml:space="preserve"> </w:t>
      </w:r>
      <m:oMath>
        <m:r>
          <m:rPr>
            <m:sty m:val="p"/>
            <m:scr m:val="script"/>
          </m:rPr>
          <m:t>A</m:t>
        </m:r>
        <m:r>
          <m:rPr>
            <m:sty m:val="p"/>
          </m:rPr>
          <m:t>:</m:t>
        </m:r>
        <m:r>
          <m:rPr>
            <m:sty m:val="p"/>
            <m:scr m:val="script"/>
          </m:rPr>
          <m:t>H</m:t>
        </m:r>
        <m:r>
          <m:rPr>
            <m:sty m:val="p"/>
          </m:rPr>
          <m:t>→</m:t>
        </m:r>
        <m:r>
          <m:rPr>
            <m:sty m:val="p"/>
            <m:scr m:val="script"/>
          </m:rPr>
          <m:t>K</m:t>
        </m:r>
      </m:oMath>
      <w:r>
        <w:t xml:space="preserve"> </w:t>
      </w:r>
      <w:r>
        <w:t xml:space="preserve">be the specified cross-fed analysis map,</w:t>
      </w:r>
      <w:r>
        <w:t xml:space="preserve"> </w:t>
      </w:r>
      <m:oMath>
        <m:r>
          <m:t>S</m:t>
        </m:r>
        <m:r>
          <m:rPr>
            <m:sty m:val="p"/>
          </m:rPr>
          <m:t>=</m:t>
        </m:r>
        <m:sSup>
          <m:e>
            <m:d>
              <m:dPr>
                <m:begChr m:val="("/>
                <m:endChr m:val=")"/>
                <m:sepChr m:val=""/>
                <m:grow/>
              </m:dPr>
              <m:e>
                <m:r>
                  <m:rPr>
                    <m:sty m:val="p"/>
                  </m:rPr>
                  <m:t>ker</m:t>
                </m:r>
                <m:r>
                  <m:rPr>
                    <m:sty m:val="p"/>
                    <m:scr m:val="script"/>
                  </m:rPr>
                  <m:t>A</m:t>
                </m:r>
              </m:e>
            </m:d>
          </m:e>
          <m:sup>
            <m:r>
              <m:rPr>
                <m:sty m:val="p"/>
              </m:rPr>
              <m:t>⊥</m:t>
            </m:r>
          </m:sup>
        </m:sSup>
      </m:oMath>
      <w:r>
        <w:t xml:space="preserve">,</w:t>
      </w:r>
      <w:r>
        <w:t xml:space="preserve"> </w:t>
      </w:r>
      <m:oMath>
        <m:r>
          <m:t>T</m:t>
        </m:r>
        <m:r>
          <m:rPr>
            <m:sty m:val="p"/>
          </m:rPr>
          <m:t>=</m:t>
        </m:r>
        <m:r>
          <m:rPr>
            <m:sty m:val="p"/>
          </m:rPr>
          <m:t>Ran</m:t>
        </m:r>
        <m:r>
          <m:rPr>
            <m:sty m:val="p"/>
            <m:scr m:val="script"/>
          </m:rPr>
          <m:t>A</m:t>
        </m:r>
      </m:oMath>
      <w:r>
        <w:t xml:space="preserve">, and</w:t>
      </w:r>
      <w:r>
        <w:t xml:space="preserve"> </w:t>
      </w:r>
      <m:oMath>
        <m:r>
          <m:rPr>
            <m:sty m:val="p"/>
            <m:scr m:val="script"/>
          </m:rPr>
          <m:t>A</m:t>
        </m:r>
        <m:r>
          <m:rPr>
            <m:sty m:val="p"/>
          </m:rPr>
          <m:t>=</m:t>
        </m:r>
        <m:r>
          <m:t>J</m:t>
        </m:r>
        <m:d>
          <m:dPr>
            <m:begChr m:val="|"/>
            <m:endChr m:val="|"/>
            <m:sepChr m:val=""/>
            <m:grow/>
          </m:dPr>
          <m:e>
            <m:r>
              <m:rPr>
                <m:sty m:val="p"/>
                <m:scr m:val="script"/>
              </m:rPr>
              <m:t>A</m:t>
            </m:r>
          </m:e>
        </m:d>
      </m:oMath>
      <w:r>
        <w:t xml:space="preserve"> </w:t>
      </w:r>
      <w:r>
        <w:t xml:space="preserve">its reduced polar decomposition. Declare:</w:t>
      </w:r>
    </w:p>
    <w:p>
      <w:pPr>
        <w:pStyle w:val="Equation"/>
        <w:keepLines/>
      </w:pPr>
      <m:oMathPara>
        <m:oMathParaPr>
          <m:jc m:val="center"/>
        </m:oMathParaPr>
        <m:oMath>
          <m:r>
            <m:rPr>
              <m:nor/>
              <m:sty m:val="p"/>
            </m:rPr>
            <m:t>(G) </m:t>
          </m:r>
          <m:sSub>
            <m:e>
              <m:r>
                <m:t>Y</m:t>
              </m:r>
            </m:e>
            <m:sub>
              <m:r>
                <m:rPr>
                  <m:sty m:val="p"/>
                </m:rPr>
                <m:t>+</m:t>
              </m:r>
            </m:sub>
          </m:sSub>
          <m:r>
            <m:rPr>
              <m:sty m:val="p"/>
            </m:rPr>
            <m:t>=</m:t>
          </m:r>
          <m:r>
            <m:t>J</m:t>
          </m:r>
          <m:d>
            <m:dPr>
              <m:begChr m:val="("/>
              <m:endChr m:val=")"/>
              <m:sepChr m:val=""/>
              <m:grow/>
            </m:dPr>
            <m:e>
              <m:sSup>
                <m:e>
                  <m:r>
                    <m:rPr>
                      <m:sty m:val="p"/>
                      <m:scr m:val="script"/>
                    </m:rPr>
                    <m:t>A</m:t>
                  </m:r>
                </m:e>
                <m:sup>
                  <m:r>
                    <m:t>​</m:t>
                  </m:r>
                  <m:r>
                    <m:rPr>
                      <m:sty m:val="p"/>
                    </m:rPr>
                    <m:t>*</m:t>
                  </m:r>
                </m:sup>
              </m:sSup>
              <m:r>
                <m:rPr>
                  <m:sty m:val="p"/>
                  <m:scr m:val="script"/>
                </m:rPr>
                <m:t>A</m:t>
              </m:r>
            </m:e>
          </m:d>
          <m:sSup>
            <m:e>
              <m:r>
                <m:t>J</m:t>
              </m:r>
            </m:e>
            <m:sup>
              <m:r>
                <m:t>​</m:t>
              </m:r>
              <m:r>
                <m:rPr>
                  <m:sty m:val="p"/>
                </m:rPr>
                <m:t>*</m:t>
              </m:r>
            </m:sup>
          </m:sSup>
          <m:r>
            <m:rPr>
              <m:sty m:val="p"/>
            </m:rPr>
            <m:t>=</m:t>
          </m:r>
          <m:d>
            <m:dPr>
              <m:begChr m:val="("/>
              <m:endChr m:val=")"/>
              <m:sepChr m:val=""/>
              <m:grow/>
            </m:dPr>
            <m:e>
              <m:r>
                <m:rPr>
                  <m:sty m:val="p"/>
                  <m:scr m:val="script"/>
                </m:rPr>
                <m:t>A</m:t>
              </m:r>
              <m:sSup>
                <m:e>
                  <m:r>
                    <m:rPr>
                      <m:sty m:val="p"/>
                      <m:scr m:val="script"/>
                    </m:rPr>
                    <m:t>A</m:t>
                  </m:r>
                </m:e>
                <m:sup>
                  <m:r>
                    <m:t>​</m:t>
                  </m:r>
                  <m:r>
                    <m:rPr>
                      <m:sty m:val="p"/>
                    </m:rPr>
                    <m:t>*</m:t>
                  </m:r>
                </m:sup>
              </m:sSup>
            </m:e>
          </m:d>
          <m:sSub>
            <m:e>
              <m:r>
                <m:rPr>
                  <m:sty m:val="p"/>
                </m:rPr>
                <m:t>|</m:t>
              </m:r>
            </m:e>
            <m:sub>
              <m:r>
                <m:t>T</m:t>
              </m:r>
            </m:sub>
          </m:sSub>
          <m:r>
            <m:rPr>
              <m:sty m:val="p"/>
            </m:rPr>
            <m:t>.</m:t>
          </m:r>
        </m:oMath>
      </m:oMathPara>
      <w:r>
        <w:rPr>
          <w:rFonts w:ascii="Cambria" w:hAnsi="Cambria"/>
          <w:sz w:val="18"/>
        </w:rPr>
        <w:tab/>
        <w:t>(16)</w:t>
      </w:r>
    </w:p>
    <w:p>
      <w:pPr>
        <w:pStyle w:val="Equation"/>
        <w:keepLines/>
      </w:pPr>
      <m:oMathPara>
        <m:oMathParaPr>
          <m:jc m:val="center"/>
        </m:oMathParaPr>
        <m:oMath>
          <m:r>
            <m:rPr>
              <m:nor/>
              <m:sty m:val="p"/>
            </m:rPr>
            <m:t>(S) </m:t>
          </m:r>
          <m:r>
            <m:t>Z</m:t>
          </m:r>
          <m:r>
            <m:rPr>
              <m:sty m:val="p"/>
            </m:rPr>
            <m:t>=</m:t>
          </m:r>
          <m:d>
            <m:dPr>
              <m:begChr m:val="("/>
              <m:endChr m:val=")"/>
              <m:sepChr m:val=""/>
              <m:grow/>
            </m:dPr>
            <m:e>
              <m:r>
                <m:t>I</m:t>
              </m:r>
              <m:r>
                <m:rPr>
                  <m:sty m:val="p"/>
                </m:rPr>
                <m:t>−</m:t>
              </m:r>
              <m:r>
                <m:t>Y</m:t>
              </m:r>
            </m:e>
          </m:d>
          <m:sSup>
            <m:e>
              <m:d>
                <m:dPr>
                  <m:begChr m:val="("/>
                  <m:endChr m:val=")"/>
                  <m:sepChr m:val=""/>
                  <m:grow/>
                </m:dPr>
                <m:e>
                  <m:r>
                    <m:t>I</m:t>
                  </m:r>
                  <m:r>
                    <m:rPr>
                      <m:sty m:val="p"/>
                    </m:rPr>
                    <m:t>+</m:t>
                  </m:r>
                  <m:r>
                    <m:t>Y</m:t>
                  </m:r>
                </m:e>
              </m:d>
            </m:e>
            <m:sup>
              <m:r>
                <m:rPr>
                  <m:sty m:val="p"/>
                </m:rPr>
                <m:t>−</m:t>
              </m:r>
              <m:r>
                <m:t>1</m:t>
              </m:r>
            </m:sup>
          </m:sSup>
          <m:r>
            <m:rPr>
              <m:sty m:val="p"/>
            </m:rPr>
            <m:t>,</m:t>
          </m:r>
          <m:r>
            <m:t> </m:t>
          </m:r>
          <m:sSub>
            <m:e>
              <m:r>
                <m:t>P</m:t>
              </m:r>
            </m:e>
            <m:sub>
              <m:r>
                <m:rPr>
                  <m:sty m:val="p"/>
                </m:rPr>
                <m:t>s</m:t>
              </m:r>
              <m:r>
                <m:rPr>
                  <m:sty m:val="p"/>
                </m:rPr>
                <m:t>e</m:t>
              </m:r>
              <m:r>
                <m:rPr>
                  <m:sty m:val="p"/>
                </m:rPr>
                <m:t>l</m:t>
              </m:r>
            </m:sub>
          </m:sSub>
          <m:r>
            <m:rPr>
              <m:sty m:val="p"/>
            </m:rPr>
            <m:t>=</m:t>
          </m:r>
          <m:sSub>
            <m:e>
              <m:r>
                <m:rPr>
                  <m:sty m:val="b"/>
                </m:rPr>
                <m:t>1</m:t>
              </m:r>
            </m:e>
            <m:sub>
              <m:d>
                <m:dPr>
                  <m:begChr m:val="("/>
                  <m:endChr m:val=")"/>
                  <m:sepChr m:val=""/>
                  <m:grow/>
                </m:dPr>
                <m:e>
                  <m:r>
                    <m:t>0</m:t>
                  </m:r>
                  <m:r>
                    <m:rPr>
                      <m:sty m:val="p"/>
                    </m:rPr>
                    <m:t>,</m:t>
                  </m:r>
                  <m:r>
                    <m:rPr>
                      <m:sty m:val="p"/>
                    </m:rPr>
                    <m:t>∞</m:t>
                  </m:r>
                </m:e>
              </m:d>
            </m:sub>
          </m:sSub>
          <m:d>
            <m:dPr>
              <m:begChr m:val="("/>
              <m:endChr m:val=")"/>
              <m:sepChr m:val=""/>
              <m:grow/>
            </m:dPr>
            <m:e>
              <m:r>
                <m:t>Z</m:t>
              </m:r>
            </m:e>
          </m:d>
          <m:r>
            <m:rPr>
              <m:sty m:val="p"/>
            </m:rPr>
            <m:t>=</m:t>
          </m:r>
          <m:sSub>
            <m:e>
              <m:r>
                <m:rPr>
                  <m:sty m:val="b"/>
                </m:rPr>
                <m:t>1</m:t>
              </m:r>
            </m:e>
            <m:sub>
              <m:r>
                <m:rPr>
                  <m:sty m:val="p"/>
                </m:rPr>
                <m:t>[</m:t>
              </m:r>
              <m:r>
                <m:t>0</m:t>
              </m:r>
              <m:r>
                <m:rPr>
                  <m:sty m:val="p"/>
                </m:rPr>
                <m:t>,</m:t>
              </m:r>
              <m:r>
                <m:t>1</m:t>
              </m:r>
              <m:r>
                <m:rPr>
                  <m:sty m:val="p"/>
                </m:rPr>
                <m:t>)</m:t>
              </m:r>
            </m:sub>
          </m:sSub>
          <m:d>
            <m:dPr>
              <m:begChr m:val="("/>
              <m:endChr m:val=")"/>
              <m:sepChr m:val=""/>
              <m:grow/>
            </m:dPr>
            <m:e>
              <m:r>
                <m:t>Y</m:t>
              </m:r>
            </m:e>
          </m:d>
          <m:r>
            <m:rPr>
              <m:sty m:val="p"/>
            </m:rPr>
            <m:t>.</m:t>
          </m:r>
        </m:oMath>
      </m:oMathPara>
      <w:r>
        <w:rPr>
          <w:rFonts w:ascii="Cambria" w:hAnsi="Cambria"/>
          <w:sz w:val="18"/>
        </w:rPr>
        <w:tab/>
        <w:t>(17)</w:t>
      </w:r>
    </w:p>
    <w:p>
      <w:pPr>
        <w:pStyle w:val="Equation"/>
        <w:keepLines/>
      </w:pPr>
      <m:oMathPara>
        <m:oMathParaPr>
          <m:jc m:val="center"/>
        </m:oMathParaPr>
        <m:oMath>
          <m:r>
            <m:rPr>
              <m:nor/>
              <m:sty m:val="p"/>
            </m:rPr>
            <m:t>(R) </m:t>
          </m:r>
          <m:sSub>
            <m:e>
              <m:r>
                <m:t>R</m:t>
              </m:r>
            </m:e>
            <m:sub>
              <m:r>
                <m:rPr>
                  <m:sty m:val="p"/>
                </m:rPr>
                <m:t>+</m:t>
              </m:r>
            </m:sub>
          </m:sSub>
          <m:r>
            <m:rPr>
              <m:sty m:val="p"/>
            </m:rPr>
            <m:t>=</m:t>
          </m:r>
          <m:sSub>
            <m:e>
              <m:r>
                <m:t>P</m:t>
              </m:r>
            </m:e>
            <m:sub>
              <m:r>
                <m:rPr>
                  <m:sty m:val="p"/>
                </m:rPr>
                <m:t>+</m:t>
              </m:r>
            </m:sub>
          </m:sSub>
          <m:r>
            <m:rPr>
              <m:sty m:val="p"/>
            </m:rPr>
            <m:t>+</m:t>
          </m:r>
          <m:sSub>
            <m:e>
              <m:r>
                <m:t>Q</m:t>
              </m:r>
            </m:e>
            <m:sub>
              <m:r>
                <m:rPr>
                  <m:sty m:val="p"/>
                </m:rPr>
                <m:t>+</m:t>
              </m:r>
            </m:sub>
          </m:sSub>
          <m:sSup>
            <m:e>
              <m:d>
                <m:dPr>
                  <m:begChr m:val="("/>
                  <m:endChr m:val=")"/>
                  <m:sepChr m:val=""/>
                  <m:grow/>
                </m:dPr>
                <m:e>
                  <m:r>
                    <m:t>I</m:t>
                  </m:r>
                  <m:r>
                    <m:rPr>
                      <m:sty m:val="p"/>
                    </m:rPr>
                    <m:t>+</m:t>
                  </m:r>
                  <m:sSub>
                    <m:e>
                      <m:r>
                        <m:t>Y</m:t>
                      </m:r>
                    </m:e>
                    <m:sub>
                      <m:r>
                        <m:rPr>
                          <m:sty m:val="p"/>
                        </m:rPr>
                        <m:t>+</m:t>
                      </m:r>
                    </m:sub>
                  </m:sSub>
                </m:e>
              </m:d>
            </m:e>
            <m:sup>
              <m:r>
                <m:rPr>
                  <m:sty m:val="p"/>
                </m:rPr>
                <m:t>−</m:t>
              </m:r>
              <m:r>
                <m:t>1</m:t>
              </m:r>
            </m:sup>
          </m:sSup>
          <m:sSub>
            <m:e>
              <m:r>
                <m:t>Q</m:t>
              </m:r>
            </m:e>
            <m:sub>
              <m:r>
                <m:rPr>
                  <m:sty m:val="p"/>
                </m:rPr>
                <m:t>+</m:t>
              </m:r>
            </m:sub>
          </m:sSub>
          <m:r>
            <m:rPr>
              <m:sty m:val="p"/>
            </m:rPr>
            <m:t>,</m:t>
          </m:r>
          <m:r>
            <m:t> </m:t>
          </m:r>
          <m:sSub>
            <m:e>
              <m:r>
                <m:t>Q</m:t>
              </m:r>
            </m:e>
            <m:sub>
              <m:r>
                <m:rPr>
                  <m:sty m:val="p"/>
                </m:rPr>
                <m:t>+</m:t>
              </m:r>
            </m:sub>
          </m:sSub>
          <m:r>
            <m:rPr>
              <m:sty m:val="p"/>
            </m:rPr>
            <m:t>=</m:t>
          </m:r>
          <m:r>
            <m:t>I</m:t>
          </m:r>
          <m:r>
            <m:rPr>
              <m:sty m:val="p"/>
            </m:rPr>
            <m:t>−</m:t>
          </m:r>
          <m:sSub>
            <m:e>
              <m:r>
                <m:t>P</m:t>
              </m:r>
            </m:e>
            <m:sub>
              <m:r>
                <m:rPr>
                  <m:sty m:val="p"/>
                </m:rPr>
                <m:t>+</m:t>
              </m:r>
            </m:sub>
          </m:sSub>
          <m:r>
            <m:rPr>
              <m:sty m:val="p"/>
            </m:rPr>
            <m:t>.</m:t>
          </m:r>
        </m:oMath>
      </m:oMathPara>
      <w:r>
        <w:rPr>
          <w:rFonts w:ascii="Cambria" w:hAnsi="Cambria"/>
          <w:sz w:val="18"/>
        </w:rPr>
        <w:tab/>
        <w:t>(18)</w:t>
      </w:r>
    </w:p>
    <w:p>
      <w:pPr>
        <w:pStyle w:val="FirstParagraph"/>
      </w:pPr>
      <w:r>
        <w:t xml:space="preserve">Here</w:t>
      </w:r>
      <w:r>
        <w:t xml:space="preserve"> </w:t>
      </w:r>
      <m:oMath>
        <m:sSub>
          <m:e>
            <m:r>
              <m:t>P</m:t>
            </m:r>
          </m:e>
          <m:sub>
            <m:r>
              <m:rPr>
                <m:sty m:val="p"/>
              </m:rPr>
              <m:t>+</m:t>
            </m:r>
          </m:sub>
        </m:sSub>
      </m:oMath>
      <w:r>
        <w:t xml:space="preserve"> </w:t>
      </w:r>
      <w:r>
        <w:t xml:space="preserve">is the nonzero orthogonal target persistence projector assembled from the selected inherited support and, when required, the exact formation seed. Failure of an exact gate returns an absorbing terminal state. Selection precedes target reclosure; the response is computed before transverse output projection. The target transport, witness-survival mass, and seed are the independently specified finite BFG rules of [4,6].</w:t>
      </w:r>
    </w:p>
    <w:p>
      <w:pPr>
        <w:pStyle w:val="BodyText"/>
      </w:pPr>
      <w:r>
        <w:t xml:space="preserve">The law (G) is stronger than positivity, (S) adopts neutral contrast as the sign of gain, and (R) chooses one contraction among several admissible ones. Each is visible as a declared rule. The equality</w:t>
      </w:r>
      <w:r>
        <w:t xml:space="preserve"> </w:t>
      </w:r>
      <m:oMath>
        <m:sSub>
          <m:e>
            <m:r>
              <m:t>P</m:t>
            </m:r>
          </m:e>
          <m:sub>
            <m:r>
              <m:rPr>
                <m:sty m:val="p"/>
              </m:rPr>
              <m:t>s</m:t>
            </m:r>
            <m:r>
              <m:rPr>
                <m:sty m:val="p"/>
              </m:rPr>
              <m:t>e</m:t>
            </m:r>
            <m:r>
              <m:rPr>
                <m:sty m:val="p"/>
              </m:rPr>
              <m:t>l</m:t>
            </m:r>
          </m:sub>
        </m:sSub>
        <m:r>
          <m:rPr>
            <m:sty m:val="p"/>
          </m:rPr>
          <m:t>=</m:t>
        </m:r>
        <m:sSub>
          <m:e>
            <m:r>
              <m:rPr>
                <m:sty m:val="b"/>
              </m:rPr>
              <m:t>1</m:t>
            </m:r>
          </m:e>
          <m:sub>
            <m:r>
              <m:rPr>
                <m:sty m:val="p"/>
              </m:rPr>
              <m:t>[</m:t>
            </m:r>
            <m:r>
              <m:t>0</m:t>
            </m:r>
            <m:r>
              <m:rPr>
                <m:sty m:val="p"/>
              </m:rPr>
              <m:t>,</m:t>
            </m:r>
            <m:r>
              <m:t>1</m:t>
            </m:r>
            <m:r>
              <m:rPr>
                <m:sty m:val="p"/>
              </m:rPr>
              <m:t>)</m:t>
            </m:r>
          </m:sub>
        </m:sSub>
        <m:d>
          <m:dPr>
            <m:begChr m:val="("/>
            <m:endChr m:val=")"/>
            <m:sepChr m:val=""/>
            <m:grow/>
          </m:dPr>
          <m:e>
            <m:r>
              <m:t>Y</m:t>
            </m:r>
          </m:e>
        </m:d>
      </m:oMath>
      <w:r>
        <w:t xml:space="preserve"> </w:t>
      </w:r>
      <w:r>
        <w:t xml:space="preserve">follows from the scalar sign of</w:t>
      </w:r>
      <w:r>
        <w:t xml:space="preserve"> </w:t>
      </w:r>
      <m:oMath>
        <m:d>
          <m:dPr>
            <m:begChr m:val="("/>
            <m:endChr m:val=")"/>
            <m:sepChr m:val=""/>
            <m:grow/>
          </m:dPr>
          <m:e>
            <m:r>
              <m:t>1</m:t>
            </m:r>
            <m:r>
              <m:rPr>
                <m:sty m:val="p"/>
              </m:rPr>
              <m:t>−</m:t>
            </m:r>
            <m:r>
              <m:t>y</m:t>
            </m:r>
          </m:e>
        </m:d>
        <m:r>
          <m:rPr>
            <m:sty m:val="p"/>
          </m:rPr>
          <m:t>/</m:t>
        </m:r>
        <m:d>
          <m:dPr>
            <m:begChr m:val="("/>
            <m:endChr m:val=")"/>
            <m:sepChr m:val=""/>
            <m:grow/>
          </m:dPr>
          <m:e>
            <m:r>
              <m:t>1</m:t>
            </m:r>
            <m:r>
              <m:rPr>
                <m:sty m:val="p"/>
              </m:rPr>
              <m:t>+</m:t>
            </m:r>
            <m:r>
              <m:t>y</m:t>
            </m:r>
          </m:e>
        </m:d>
      </m:oMath>
      <w:r>
        <w:t xml:space="preserve">, including the strict exclusion of</w:t>
      </w:r>
      <w:r>
        <w:t xml:space="preserve"> </w:t>
      </w:r>
      <m:oMath>
        <m:r>
          <m:t>y</m:t>
        </m:r>
        <m:r>
          <m:rPr>
            <m:sty m:val="p"/>
          </m:rPr>
          <m:t>=</m:t>
        </m:r>
        <m:r>
          <m:t>1</m:t>
        </m:r>
      </m:oMath>
      <w:r>
        <w:t xml:space="preserve">.</w:t>
      </w:r>
    </w:p>
    <w:p>
      <w:pPr>
        <w:pStyle w:val="BodyText"/>
      </w:pPr>
      <w:r>
        <w:rPr>
          <w:bCs/>
          <w:b/>
        </w:rPr>
        <w:t xml:space="preserve">Theorem 6.2 (Conditional finite successor).</w:t>
      </w:r>
      <w:r>
        <w:t xml:space="preserve"> </w:t>
      </w:r>
      <w:r>
        <w:t xml:space="preserve">Suppose all input types and exact gates in the finite reclosure contract hold,</w:t>
      </w:r>
      <w:r>
        <w:t xml:space="preserve"> </w:t>
      </w:r>
      <m:oMath>
        <m:r>
          <m:t>r</m:t>
        </m:r>
        <m:r>
          <m:rPr>
            <m:sty m:val="p"/>
          </m:rPr>
          <m:t>=</m:t>
        </m:r>
        <m:r>
          <m:rPr>
            <m:sty m:val="p"/>
          </m:rPr>
          <m:t>rank</m:t>
        </m:r>
        <m:r>
          <m:rPr>
            <m:sty m:val="p"/>
            <m:scr m:val="script"/>
          </m:rPr>
          <m:t>A</m:t>
        </m:r>
        <m:r>
          <m:rPr>
            <m:sty m:val="p"/>
          </m:rPr>
          <m:t>&gt;</m:t>
        </m:r>
        <m:r>
          <m:t>0</m:t>
        </m:r>
      </m:oMath>
      <w:r>
        <w:t xml:space="preserve">, the transferred witness mass is positive, and the target formation density has positive trace. Then the nonterminal target is uniquely defined up to simultaneous orthogonal/unitary active frames. It has</w:t>
      </w:r>
      <w:r>
        <w:t xml:space="preserve"> </w:t>
      </w:r>
      <m:oMath>
        <m:r>
          <m:rPr>
            <m:sty m:val="p"/>
          </m:rPr>
          <m:t>dim</m:t>
        </m:r>
        <m:r>
          <m:t>T</m:t>
        </m:r>
        <m:r>
          <m:rPr>
            <m:sty m:val="p"/>
          </m:rPr>
          <m:t>=</m:t>
        </m:r>
        <m:r>
          <m:t>r</m:t>
        </m:r>
        <m:r>
          <m:rPr>
            <m:sty m:val="p"/>
          </m:rPr>
          <m:t>≤</m:t>
        </m:r>
        <m:r>
          <m:rPr>
            <m:sty m:val="p"/>
          </m:rPr>
          <m:t>dim</m:t>
        </m:r>
        <m:r>
          <m:rPr>
            <m:sty m:val="p"/>
            <m:scr m:val="script"/>
          </m:rPr>
          <m:t>H</m:t>
        </m:r>
      </m:oMath>
      <w:r>
        <w:t xml:space="preserve">,</w:t>
      </w:r>
      <w:r>
        <w:t xml:space="preserve"> </w:t>
      </w:r>
      <m:oMath>
        <m:sSub>
          <m:e>
            <m:r>
              <m:t>Y</m:t>
            </m:r>
          </m:e>
          <m:sub>
            <m:r>
              <m:rPr>
                <m:sty m:val="p"/>
              </m:rPr>
              <m:t>+</m:t>
            </m:r>
          </m:sub>
        </m:sSub>
        <m:r>
          <m:rPr>
            <m:sty m:val="p"/>
          </m:rPr>
          <m:t>&gt;</m:t>
        </m:r>
        <m:r>
          <m:t>0</m:t>
        </m:r>
      </m:oMath>
      <w:r>
        <w:t xml:space="preserve"> </w:t>
      </w:r>
      <w:r>
        <w:t xml:space="preserve">on</w:t>
      </w:r>
      <w:r>
        <w:t xml:space="preserve"> </w:t>
      </w:r>
      <m:oMath>
        <m:r>
          <m:t>T</m:t>
        </m:r>
      </m:oMath>
      <w:r>
        <w:t xml:space="preserve">, positive normalized witness, nonzero positive formation density, Hermitian transported capacities, and power-bounded</w:t>
      </w:r>
      <w:r>
        <w:t xml:space="preserve"> </w:t>
      </w:r>
      <m:oMath>
        <m:sSub>
          <m:e>
            <m:r>
              <m:t>R</m:t>
            </m:r>
          </m:e>
          <m:sub>
            <m:r>
              <m:rPr>
                <m:sty m:val="p"/>
              </m:rPr>
              <m:t>+</m:t>
            </m:r>
          </m:sub>
        </m:sSub>
      </m:oMath>
      <w:r>
        <w:t xml:space="preserve"> </w:t>
      </w:r>
      <w:r>
        <w:t xml:space="preserve">with peripheral space exactly</w:t>
      </w:r>
      <w:r>
        <w:t xml:space="preserve"> </w:t>
      </w:r>
      <m:oMath>
        <m:r>
          <m:rPr>
            <m:sty m:val="p"/>
          </m:rPr>
          <m:t>Ran</m:t>
        </m:r>
        <m:sSub>
          <m:e>
            <m:r>
              <m:t>P</m:t>
            </m:r>
          </m:e>
          <m:sub>
            <m:r>
              <m:rPr>
                <m:sty m:val="p"/>
              </m:rPr>
              <m:t>+</m:t>
            </m:r>
          </m:sub>
        </m:sSub>
      </m:oMath>
      <w:r>
        <w:t xml:space="preserve">. Every finite iterate is consequently either typed or terminal.</w:t>
      </w:r>
    </w:p>
    <w:p>
      <w:pPr>
        <w:pStyle w:val="BodyText"/>
      </w:pPr>
      <w:r>
        <w:rPr>
          <w:iCs/>
          <w:i/>
        </w:rPr>
        <w:t xml:space="preserve">Proof.</w:t>
      </w:r>
      <w:r>
        <w:t xml:space="preserve"> </w:t>
      </w:r>
      <w:r>
        <w:t xml:space="preserve">On</w:t>
      </w:r>
      <w:r>
        <w:t xml:space="preserve"> </w:t>
      </w:r>
      <m:oMath>
        <m:r>
          <m:t>T</m:t>
        </m:r>
      </m:oMath>
      <w:r>
        <w:t xml:space="preserve">, the reduced singular values of</w:t>
      </w:r>
      <w:r>
        <w:t xml:space="preserve"> </w:t>
      </w:r>
      <m:oMath>
        <m:r>
          <m:rPr>
            <m:sty m:val="p"/>
            <m:scr m:val="script"/>
          </m:rPr>
          <m:t>A</m:t>
        </m:r>
      </m:oMath>
      <w:r>
        <w:t xml:space="preserve"> </w:t>
      </w:r>
      <w:r>
        <w:t xml:space="preserve">are strictly positive; hence (G) is positive definite and frame-independent. Positive congruence transports the two densities; division by the strictly positive witness survival mass gives unit trace. The positive seed, if required and admitted by its simple-ground gate, is supported orthogonally to inherited formation. The stated formation gate preserves nonzero trace. Hermitian capacity transport preserves the adjoint type. Since</w:t>
      </w:r>
      <w:r>
        <w:t xml:space="preserve"> </w:t>
      </w:r>
      <m:oMath>
        <m:sSub>
          <m:e>
            <m:r>
              <m:t>Y</m:t>
            </m:r>
          </m:e>
          <m:sub>
            <m:r>
              <m:rPr>
                <m:sty m:val="p"/>
              </m:rPr>
              <m:t>+</m:t>
            </m:r>
          </m:sub>
        </m:sSub>
        <m:r>
          <m:rPr>
            <m:sty m:val="p"/>
          </m:rPr>
          <m:t>&gt;</m:t>
        </m:r>
        <m:r>
          <m:t>0</m:t>
        </m:r>
      </m:oMath>
      <w:r>
        <w:t xml:space="preserve"> </w:t>
      </w:r>
      <w:r>
        <w:t xml:space="preserve">on finite-dimensional</w:t>
      </w:r>
      <w:r>
        <w:t xml:space="preserve"> </w:t>
      </w:r>
      <m:oMath>
        <m:r>
          <m:t>T</m:t>
        </m:r>
      </m:oMath>
      <w:r>
        <w:t xml:space="preserve">,</w:t>
      </w:r>
      <w:r>
        <w:t xml:space="preserve"> </w:t>
      </w:r>
      <m:oMath>
        <m:sSub>
          <m:e>
            <m:r>
              <m:t>C</m:t>
            </m:r>
          </m:e>
          <m:sub>
            <m:r>
              <m:rPr>
                <m:sty m:val="p"/>
              </m:rPr>
              <m:t>+</m:t>
            </m:r>
          </m:sub>
        </m:sSub>
        <m:r>
          <m:rPr>
            <m:sty m:val="p"/>
          </m:rPr>
          <m:t>=</m:t>
        </m:r>
        <m:sSup>
          <m:e>
            <m:d>
              <m:dPr>
                <m:begChr m:val="("/>
                <m:endChr m:val=")"/>
                <m:sepChr m:val=""/>
                <m:grow/>
              </m:dPr>
              <m:e>
                <m:r>
                  <m:t>I</m:t>
                </m:r>
                <m:r>
                  <m:rPr>
                    <m:sty m:val="p"/>
                  </m:rPr>
                  <m:t>+</m:t>
                </m:r>
                <m:sSub>
                  <m:e>
                    <m:r>
                      <m:t>Y</m:t>
                    </m:r>
                  </m:e>
                  <m:sub>
                    <m:r>
                      <m:rPr>
                        <m:sty m:val="p"/>
                      </m:rPr>
                      <m:t>+</m:t>
                    </m:r>
                  </m:sub>
                </m:sSub>
              </m:e>
            </m:d>
          </m:e>
          <m:sup>
            <m:r>
              <m:rPr>
                <m:sty m:val="p"/>
              </m:rPr>
              <m:t>−</m:t>
            </m:r>
            <m:r>
              <m:t>1</m:t>
            </m:r>
          </m:sup>
        </m:sSup>
      </m:oMath>
      <w:r>
        <w:t xml:space="preserve"> </w:t>
      </w:r>
      <w:r>
        <w:t xml:space="preserve">satisfies</w:t>
      </w:r>
      <w:r>
        <w:t xml:space="preserve"> </w:t>
      </w:r>
      <m:oMath>
        <m:r>
          <m:t>0</m:t>
        </m:r>
        <m:r>
          <m:rPr>
            <m:sty m:val="p"/>
          </m:rPr>
          <m:t>&lt;</m:t>
        </m:r>
        <m:sSub>
          <m:e>
            <m:r>
              <m:t>C</m:t>
            </m:r>
          </m:e>
          <m:sub>
            <m:r>
              <m:rPr>
                <m:sty m:val="p"/>
              </m:rPr>
              <m:t>+</m:t>
            </m:r>
          </m:sub>
        </m:sSub>
        <m:r>
          <m:rPr>
            <m:sty m:val="p"/>
          </m:rPr>
          <m:t>≤</m:t>
        </m:r>
        <m:r>
          <m:t>q</m:t>
        </m:r>
        <m:r>
          <m:t>I</m:t>
        </m:r>
      </m:oMath>
      <w:r>
        <w:t xml:space="preserve"> </w:t>
      </w:r>
      <w:r>
        <w:t xml:space="preserve">for</w:t>
      </w:r>
      <w:r>
        <w:t xml:space="preserve"> </w:t>
      </w:r>
      <m:oMath>
        <m:r>
          <m:t>q</m:t>
        </m:r>
        <m:r>
          <m:rPr>
            <m:sty m:val="p"/>
          </m:rPr>
          <m:t>=</m:t>
        </m:r>
        <m:sSup>
          <m:e>
            <m:d>
              <m:dPr>
                <m:begChr m:val="("/>
                <m:endChr m:val=")"/>
                <m:sepChr m:val=""/>
                <m:grow/>
              </m:dPr>
              <m:e>
                <m:r>
                  <m:t>1</m:t>
                </m:r>
                <m:r>
                  <m:rPr>
                    <m:sty m:val="p"/>
                  </m:rPr>
                  <m:t>+</m:t>
                </m:r>
                <m:sSub>
                  <m:e>
                    <m:r>
                      <m:t>λ</m:t>
                    </m:r>
                  </m:e>
                  <m:sub>
                    <m:r>
                      <m:rPr>
                        <m:sty m:val="p"/>
                      </m:rPr>
                      <m:t>min</m:t>
                    </m:r>
                  </m:sub>
                </m:sSub>
                <m:d>
                  <m:dPr>
                    <m:begChr m:val="("/>
                    <m:endChr m:val=")"/>
                    <m:sepChr m:val=""/>
                    <m:grow/>
                  </m:dPr>
                  <m:e>
                    <m:sSub>
                      <m:e>
                        <m:r>
                          <m:t>Y</m:t>
                        </m:r>
                      </m:e>
                      <m:sub>
                        <m:r>
                          <m:rPr>
                            <m:sty m:val="p"/>
                          </m:rPr>
                          <m:t>+</m:t>
                        </m:r>
                      </m:sub>
                    </m:sSub>
                  </m:e>
                </m:d>
              </m:e>
            </m:d>
          </m:e>
          <m:sup>
            <m:r>
              <m:rPr>
                <m:sty m:val="p"/>
              </m:rPr>
              <m:t>−</m:t>
            </m:r>
            <m:r>
              <m:t>1</m:t>
            </m:r>
          </m:sup>
        </m:sSup>
        <m:r>
          <m:rPr>
            <m:sty m:val="p"/>
          </m:rPr>
          <m:t>&lt;</m:t>
        </m:r>
        <m:r>
          <m:t>1</m:t>
        </m:r>
      </m:oMath>
      <w:r>
        <w:t xml:space="preserve">. Relative to</w:t>
      </w:r>
      <w:r>
        <w:t xml:space="preserve"> </w:t>
      </w:r>
      <m:oMath>
        <m:r>
          <m:rPr>
            <m:sty m:val="p"/>
          </m:rPr>
          <m:t>Ran</m:t>
        </m:r>
        <m:sSub>
          <m:e>
            <m:r>
              <m:t>P</m:t>
            </m:r>
          </m:e>
          <m:sub>
            <m:r>
              <m:rPr>
                <m:sty m:val="p"/>
              </m:rPr>
              <m:t>+</m:t>
            </m:r>
          </m:sub>
        </m:sSub>
        <m:r>
          <m:rPr>
            <m:sty m:val="p"/>
          </m:rPr>
          <m:t>⊕</m:t>
        </m:r>
        <m:r>
          <m:rPr>
            <m:sty m:val="p"/>
          </m:rPr>
          <m:t>Ran</m:t>
        </m:r>
        <m:sSub>
          <m:e>
            <m:r>
              <m:t>Q</m:t>
            </m:r>
          </m:e>
          <m:sub>
            <m:r>
              <m:rPr>
                <m:sty m:val="p"/>
              </m:rPr>
              <m:t>+</m:t>
            </m:r>
          </m:sub>
        </m:sSub>
      </m:oMath>
      <w:r>
        <w:t xml:space="preserve">, (R) has blocks</w:t>
      </w:r>
      <w:r>
        <w:t xml:space="preserve"> </w:t>
      </w:r>
      <m:oMath>
        <m:r>
          <m:t>I</m:t>
        </m:r>
      </m:oMath>
      <w:r>
        <w:t xml:space="preserve"> </w:t>
      </w:r>
      <w:r>
        <w:t xml:space="preserve">and</w:t>
      </w:r>
      <w:r>
        <w:t xml:space="preserve"> </w:t>
      </w:r>
      <m:oMath>
        <m:sSub>
          <m:e>
            <m:r>
              <m:t>Q</m:t>
            </m:r>
          </m:e>
          <m:sub>
            <m:r>
              <m:rPr>
                <m:sty m:val="p"/>
              </m:rPr>
              <m:t>+</m:t>
            </m:r>
          </m:sub>
        </m:sSub>
        <m:sSub>
          <m:e>
            <m:r>
              <m:t>C</m:t>
            </m:r>
          </m:e>
          <m:sub>
            <m:r>
              <m:rPr>
                <m:sty m:val="p"/>
              </m:rPr>
              <m:t>+</m:t>
            </m:r>
          </m:sub>
        </m:sSub>
        <m:sSub>
          <m:e>
            <m:r>
              <m:t>Q</m:t>
            </m:r>
          </m:e>
          <m:sub>
            <m:r>
              <m:rPr>
                <m:sty m:val="p"/>
              </m:rPr>
              <m:t>+</m:t>
            </m:r>
          </m:sub>
        </m:sSub>
        <m:sSub>
          <m:e>
            <m:r>
              <m:rPr>
                <m:sty m:val="p"/>
              </m:rPr>
              <m:t>|</m:t>
            </m:r>
          </m:e>
          <m:sub>
            <m:r>
              <m:rPr>
                <m:sty m:val="p"/>
              </m:rPr>
              <m:t>Ran</m:t>
            </m:r>
            <m:sSub>
              <m:e>
                <m:r>
                  <m:t>Q</m:t>
                </m:r>
              </m:e>
              <m:sub>
                <m:r>
                  <m:rPr>
                    <m:sty m:val="p"/>
                  </m:rPr>
                  <m:t>+</m:t>
                </m:r>
              </m:sub>
            </m:sSub>
          </m:sub>
        </m:sSub>
      </m:oMath>
      <w:r>
        <w:t xml:space="preserve">, the latter of norm at most</w:t>
      </w:r>
      <w:r>
        <w:t xml:space="preserve"> </w:t>
      </w:r>
      <m:oMath>
        <m:r>
          <m:t>q</m:t>
        </m:r>
      </m:oMath>
      <w:r>
        <w:t xml:space="preserve">. Thus</w:t>
      </w:r>
      <w:r>
        <w:t xml:space="preserve"> </w:t>
      </w:r>
      <m:oMath>
        <m:sSub>
          <m:e>
            <m:r>
              <m:t>R</m:t>
            </m:r>
          </m:e>
          <m:sub>
            <m:r>
              <m:rPr>
                <m:sty m:val="p"/>
              </m:rPr>
              <m:t>+</m:t>
            </m:r>
          </m:sub>
        </m:sSub>
      </m:oMath>
      <w:r>
        <w:t xml:space="preserve"> </w:t>
      </w:r>
      <w:r>
        <w:t xml:space="preserve">is power bounded and its only unit-modulus eigenspace is</w:t>
      </w:r>
      <w:r>
        <w:t xml:space="preserve"> </w:t>
      </w:r>
      <m:oMath>
        <m:r>
          <m:rPr>
            <m:sty m:val="p"/>
          </m:rPr>
          <m:t>Ran</m:t>
        </m:r>
        <m:sSub>
          <m:e>
            <m:r>
              <m:t>P</m:t>
            </m:r>
          </m:e>
          <m:sub>
            <m:r>
              <m:rPr>
                <m:sty m:val="p"/>
              </m:rPr>
              <m:t>+</m:t>
            </m:r>
          </m:sub>
        </m:sSub>
      </m:oMath>
      <w:r>
        <w:t xml:space="preserve">. Rank and frame claims follow from the standard polar factorization [11,8]. Reapplying the same gates and rules gives the finite-iterate claim by induction; no nonterminality at every step is asserted.</w:t>
      </w:r>
      <w:r>
        <w:t xml:space="preserve"> </w:t>
      </w:r>
      <m:oMath>
        <m:r>
          <m:rPr>
            <m:sty m:val="p"/>
          </m:rPr>
          <m:t>▫</m:t>
        </m:r>
      </m:oMath>
    </w:p>
    <w:p>
      <w:pPr>
        <w:pStyle w:val="BodyText"/>
      </w:pPr>
      <w:r>
        <w:t xml:space="preserve">This theorem consolidates the finite source audit [6]; it does not reconstruct every factor role from Level 0. Positivity and covariance alone would also admit</w:t>
      </w:r>
      <w:r>
        <w:t xml:space="preserve"> </w:t>
      </w:r>
      <m:oMath>
        <m:sSub>
          <m:e>
            <m:r>
              <m:t>Y</m:t>
            </m:r>
          </m:e>
          <m:sub>
            <m:r>
              <m:rPr>
                <m:sty m:val="p"/>
              </m:rPr>
              <m:t>+</m:t>
            </m:r>
          </m:sub>
        </m:sSub>
        <m:r>
          <m:rPr>
            <m:sty m:val="p"/>
          </m:rPr>
          <m:t>′</m:t>
        </m:r>
        <m:r>
          <m:rPr>
            <m:sty m:val="p"/>
          </m:rPr>
          <m:t>=</m:t>
        </m:r>
        <m:sSub>
          <m:e>
            <m:r>
              <m:t>Y</m:t>
            </m:r>
          </m:e>
          <m:sub>
            <m:r>
              <m:rPr>
                <m:sty m:val="p"/>
              </m:rPr>
              <m:t>+</m:t>
            </m:r>
          </m:sub>
        </m:sSub>
        <m:r>
          <m:rPr>
            <m:sty m:val="p"/>
          </m:rPr>
          <m:t>+</m:t>
        </m:r>
        <m:sSubSup>
          <m:e>
            <m:r>
              <m:t>Y</m:t>
            </m:r>
          </m:e>
          <m:sub>
            <m:r>
              <m:rPr>
                <m:sty m:val="p"/>
              </m:rPr>
              <m:t>+</m:t>
            </m:r>
          </m:sub>
          <m:sup>
            <m:r>
              <m:t>2</m:t>
            </m:r>
          </m:sup>
        </m:sSubSup>
      </m:oMath>
      <w:r>
        <w:t xml:space="preserve">; stability would admit</w:t>
      </w:r>
      <w:r>
        <w:t xml:space="preserve"> </w:t>
      </w:r>
      <m:oMath>
        <m:sSub>
          <m:e>
            <m:r>
              <m:t>R</m:t>
            </m:r>
          </m:e>
          <m:sub>
            <m:r>
              <m:rPr>
                <m:sty m:val="p"/>
              </m:rPr>
              <m:t>+</m:t>
            </m:r>
          </m:sub>
        </m:sSub>
        <m:r>
          <m:rPr>
            <m:sty m:val="p"/>
          </m:rPr>
          <m:t>′</m:t>
        </m:r>
        <m:r>
          <m:rPr>
            <m:sty m:val="p"/>
          </m:rPr>
          <m:t>=</m:t>
        </m:r>
        <m:sSub>
          <m:e>
            <m:r>
              <m:t>P</m:t>
            </m:r>
          </m:e>
          <m:sub>
            <m:r>
              <m:rPr>
                <m:sty m:val="p"/>
              </m:rPr>
              <m:t>+</m:t>
            </m:r>
          </m:sub>
        </m:sSub>
        <m:r>
          <m:rPr>
            <m:sty m:val="p"/>
          </m:rPr>
          <m:t>+</m:t>
        </m:r>
        <m:sSub>
          <m:e>
            <m:r>
              <m:t>Q</m:t>
            </m:r>
          </m:e>
          <m:sub>
            <m:r>
              <m:rPr>
                <m:sty m:val="p"/>
              </m:rPr>
              <m:t>+</m:t>
            </m:r>
          </m:sub>
        </m:sSub>
        <m:sSubSup>
          <m:e>
            <m:r>
              <m:t>C</m:t>
            </m:r>
          </m:e>
          <m:sub>
            <m:r>
              <m:rPr>
                <m:sty m:val="p"/>
              </m:rPr>
              <m:t>+</m:t>
            </m:r>
          </m:sub>
          <m:sup>
            <m:r>
              <m:t>2</m:t>
            </m:r>
          </m:sup>
        </m:sSubSup>
        <m:sSub>
          <m:e>
            <m:r>
              <m:t>Q</m:t>
            </m:r>
          </m:e>
          <m:sub>
            <m:r>
              <m:rPr>
                <m:sty m:val="p"/>
              </m:rPr>
              <m:t>+</m:t>
            </m:r>
          </m:sub>
        </m:sSub>
      </m:oMath>
      <w:r>
        <w:t xml:space="preserve">. The contract selects (16) and (18) explicitly.</w:t>
      </w:r>
    </w:p>
    <w:p>
      <w:pPr>
        <w:pStyle w:val="BodyText"/>
      </w:pPr>
      <w:r>
        <w:t xml:space="preserve">If the data used to construct an isolated persistent spectral subspace are perturbed, the gap conditions become essential to a stability analysis. Standard spectral perturbation results describe that separate sensitivity question [12,9]; the finite self-map theorem above establishes type preservation for the specified exact data and does not supply a uniform noise bound.</w:t>
      </w:r>
    </w:p>
    <w:bookmarkEnd w:id="30"/>
    <w:bookmarkStart w:id="31" w:name="X6ffb2d8c2cc41989c56414bb098c5bb0fad40cb"/>
    <w:p>
      <w:pPr>
        <w:pStyle w:val="Heading1"/>
      </w:pPr>
      <w:r>
        <w:rPr>
          <w:rStyle w:val="SectionNumber"/>
        </w:rPr>
        <w:t xml:space="preserve">7</w:t>
      </w:r>
      <w:r>
        <w:tab/>
      </w:r>
      <w:r>
        <w:t xml:space="preserve">Interpretation, tests, and unresolved implications</w:t>
      </w:r>
    </w:p>
    <w:p>
      <w:pPr>
        <w:pStyle w:val="FirstParagraph"/>
      </w:pPr>
      <w:r>
        <w:t xml:space="preserve">The neutral-first statement explains why BFG treats neutral admissibility as a condition for distinction. Axiom 3.1 is the new quantitative representation of that idea on a formed-branch tangent copy. Theorems 4.1 and 6.2 establish conditional finite mathematics, not a causal identification of a physical neutral object. An empirically adequate realization needs a prespecified map from measured neutral states to</w:t>
      </w:r>
      <w:r>
        <w:t xml:space="preserve"> </w:t>
      </w:r>
      <m:oMath>
        <m:r>
          <m:t>η</m:t>
        </m:r>
      </m:oMath>
      <w:r>
        <w:t xml:space="preserve">, measurements of the mixed Hessian and both metrics, selective removal and restoration, and comparison with a matched-memory direct model [7].</w:t>
      </w:r>
    </w:p>
    <w:p>
      <w:pPr>
        <w:pStyle w:val="BodyText"/>
      </w:pPr>
      <w:r>
        <w:t xml:space="preserve">The source rule also has a sharp mathematical falsifier within its declared domain: if the measured or independently derived mixed Hessian is not</w:t>
      </w:r>
      <w:r>
        <w:t xml:space="preserve"> </w:t>
      </w:r>
      <m:oMath>
        <m:r>
          <m:rPr>
            <m:sty m:val="p"/>
          </m:rPr>
          <m:t>−</m:t>
        </m:r>
        <m:sSub>
          <m:e>
            <m:r>
              <m:rPr>
                <m:sty m:val="p"/>
              </m:rPr>
              <m:t>ℵ</m:t>
            </m:r>
          </m:e>
          <m:sub>
            <m:r>
              <m:t>0</m:t>
            </m:r>
          </m:sub>
        </m:sSub>
      </m:oMath>
      <w:r>
        <w:t xml:space="preserve">, or if the neutral Schur metric differs from</w:t>
      </w:r>
      <w:r>
        <w:t xml:space="preserve"> </w:t>
      </w:r>
      <m:oMath>
        <m:sSub>
          <m:e>
            <m:r>
              <m:t>H</m:t>
            </m:r>
          </m:e>
          <m:sub>
            <m:r>
              <m:rPr>
                <m:sty m:val="p"/>
              </m:rPr>
              <m:t>*</m:t>
            </m:r>
          </m:sub>
        </m:sSub>
      </m:oMath>
      <w:r>
        <w:t xml:space="preserve">, the L0–NC specialization fails while the more general quadratic form (5) may remain valid. A vanishing</w:t>
      </w:r>
      <w:r>
        <w:t xml:space="preserve"> </w:t>
      </w:r>
      <m:oMath>
        <m:sSub>
          <m:e>
            <m:r>
              <m:rPr>
                <m:sty m:val="p"/>
              </m:rPr>
              <m:t>ℵ</m:t>
            </m:r>
          </m:e>
          <m:sub>
            <m:r>
              <m:t>0</m:t>
            </m:r>
          </m:sub>
        </m:sSub>
      </m:oMath>
      <w:r>
        <w:t xml:space="preserve"> </w:t>
      </w:r>
      <w:r>
        <w:t xml:space="preserve">gives</w:t>
      </w:r>
      <w:r>
        <w:t xml:space="preserve"> </w:t>
      </w:r>
      <m:oMath>
        <m:r>
          <m:t>A</m:t>
        </m:r>
        <m:r>
          <m:rPr>
            <m:sty m:val="p"/>
          </m:rPr>
          <m:t>=</m:t>
        </m:r>
        <m:r>
          <m:t>Y</m:t>
        </m:r>
        <m:r>
          <m:rPr>
            <m:sty m:val="p"/>
          </m:rPr>
          <m:t>=</m:t>
        </m:r>
        <m:r>
          <m:t>0</m:t>
        </m:r>
      </m:oMath>
      <w:r>
        <w:t xml:space="preserve"> </w:t>
      </w:r>
      <w:r>
        <w:t xml:space="preserve">and no active neutral successor; the finite rank gate then terminates instead of inventing a channel.</w:t>
      </w:r>
    </w:p>
    <w:bookmarkEnd w:id="31"/>
    <w:bookmarkStart w:id="32" w:name="conclusion"/>
    <w:p>
      <w:pPr>
        <w:pStyle w:val="Heading1"/>
      </w:pPr>
      <w:r>
        <w:rPr>
          <w:rStyle w:val="SectionNumber"/>
        </w:rPr>
        <w:t xml:space="preserve">8</w:t>
      </w:r>
      <w:r>
        <w:tab/>
      </w:r>
      <w:r>
        <w:t xml:space="preserve">Conclusion</w:t>
      </w:r>
    </w:p>
    <w:p>
      <w:pPr>
        <w:pStyle w:val="FirstParagraph"/>
      </w:pPr>
      <w:r>
        <w:t xml:space="preserve">We have fixed a coherent finite BFG extension using existing BFG objects and a neutral-first interpretation. Two newly stated source identifications determine the tangent channel and make its Gram and resolvent exact. Three separately declared successor rules yield a typed finite self-map under explicit gates. The historical Level-0 formation equation alone does not imply any of these choices; the scalar countermodel proves this limitation for the neutral channel. A complete account of natural universal emergence, continuum dynamics, or a unique physical intermediary requires additional evidence beyond this finite mathematical completion.</w:t>
      </w:r>
    </w:p>
    <w:bookmarkEnd w:id="32"/>
    <w:bookmarkStart w:id="44" w:name="references"/>
    <w:p>
      <w:pPr>
        <w:pStyle w:val="Heading1"/>
      </w:pPr>
      <w:r>
        <w:t xml:space="preserve">References</w:t>
      </w:r>
    </w:p>
    <w:p>
      <w:pPr>
        <w:numPr>
          <w:ilvl w:val="0"/>
          <w:numId w:val="1001"/>
        </w:numPr>
        <w:spacing w:after="40"/>
      </w:pPr>
      <w:r>
        <w:rPr>
          <w:sz w:val="18"/>
        </w:rPr>
        <w:t xml:space="preserve">M. T. Wende and T. W. Loker,</w:t>
      </w:r>
      <w:r>
        <w:rPr>
          <w:sz w:val="18"/>
        </w:rPr>
        <w:t xml:space="preserve"> </w:t>
      </w:r>
      <w:r>
        <w:rPr>
          <w:iCs/>
          <w:i/>
          <w:sz w:val="18"/>
        </w:rPr>
        <w:t xml:space="preserve">A Constructive Level-0 Foundation of the Balance-Field Framework (BFG): A Pre-Mathematical Balance Substrate for Emergent Order, Information, Process Time and Physics</w:t>
      </w:r>
      <w:r>
        <w:rPr>
          <w:sz w:val="18"/>
        </w:rPr>
        <w:t xml:space="preserve">, 11 March 2026. Author manuscript,</w:t>
      </w:r>
      <w:r>
        <w:rPr>
          <w:sz w:val="18"/>
        </w:rPr>
        <w:t xml:space="preserve"> </w:t>
      </w:r>
      <w:hyperlink r:id="rId33">
        <w:r>
          <w:rPr>
            <w:rStyle w:val="Hyperlink"/>
          </w:rPr>
          <w:t xml:space="preserve">https://www.academia.edu/167365210/</w:t>
        </w:r>
      </w:hyperlink>
      <w:r>
        <w:rPr>
          <w:sz w:val="18"/>
        </w:rPr>
        <w:t xml:space="preserve">.</w:t>
      </w:r>
    </w:p>
    <w:p>
      <w:pPr>
        <w:numPr>
          <w:ilvl w:val="0"/>
          <w:numId w:val="1001"/>
        </w:numPr>
        <w:spacing w:after="40"/>
      </w:pPr>
      <w:r>
        <w:rPr>
          <w:sz w:val="18"/>
        </w:rPr>
        <w:t xml:space="preserve">M. T. Wende,</w:t>
      </w:r>
      <w:r>
        <w:rPr>
          <w:sz w:val="18"/>
        </w:rPr>
        <w:t xml:space="preserve"> </w:t>
      </w:r>
      <w:r>
        <w:rPr>
          <w:iCs/>
          <w:i/>
          <w:sz w:val="18"/>
        </w:rPr>
        <w:t xml:space="preserve">The Neutral Appearance Substrate of the Balance-Field Framework: A Level-Minus-One Continuation of the Constructive Level-0 BFG</w:t>
      </w:r>
      <w:r>
        <w:rPr>
          <w:sz w:val="18"/>
        </w:rPr>
        <w:t xml:space="preserve">, 2026. Author description on</w:t>
      </w:r>
      <w:r>
        <w:rPr>
          <w:sz w:val="18"/>
        </w:rPr>
        <w:t xml:space="preserve"> </w:t>
      </w:r>
      <w:hyperlink r:id="rId34">
        <w:r>
          <w:rPr>
            <w:rStyle w:val="Hyperlink"/>
          </w:rPr>
          <w:t xml:space="preserve">https://independent.academia.edu/MarcelWende</w:t>
        </w:r>
      </w:hyperlink>
      <w:r>
        <w:rPr>
          <w:sz w:val="18"/>
        </w:rPr>
        <w:t xml:space="preserve">; full manuscript was not accessible for this version.</w:t>
      </w:r>
    </w:p>
    <w:p>
      <w:pPr>
        <w:numPr>
          <w:ilvl w:val="0"/>
          <w:numId w:val="1001"/>
        </w:numPr>
        <w:spacing w:after="40"/>
      </w:pPr>
      <w:r>
        <w:rPr>
          <w:sz w:val="18"/>
        </w:rPr>
        <w:t xml:space="preserve">M. T. Wende,</w:t>
      </w:r>
      <w:r>
        <w:rPr>
          <w:sz w:val="18"/>
        </w:rPr>
        <w:t xml:space="preserve"> </w:t>
      </w:r>
      <w:r>
        <w:rPr>
          <w:iCs/>
          <w:i/>
          <w:sz w:val="18"/>
        </w:rPr>
        <w:t xml:space="preserve">BFG Strong Universal Reclosure Whitepaper</w:t>
      </w:r>
      <w:r>
        <w:rPr>
          <w:sz w:val="18"/>
        </w:rPr>
        <w:t xml:space="preserve">, 8 September 2026, Sections 3.1–3.2,</w:t>
      </w:r>
      <w:r>
        <w:rPr>
          <w:sz w:val="18"/>
        </w:rPr>
        <w:t xml:space="preserve"> </w:t>
      </w:r>
      <w:hyperlink r:id="rId35">
        <w:r>
          <w:rPr>
            <w:rStyle w:val="Hyperlink"/>
          </w:rPr>
          <w:t xml:space="preserve">https://github.com/marceltheodorwende-ops/BalanceFieldResearch/blob/main/papers/BFG_Strong_Universal_Reclosure_Whitepaper_2026-09-08.pdf</w:t>
        </w:r>
      </w:hyperlink>
      <w:r>
        <w:rPr>
          <w:sz w:val="18"/>
        </w:rPr>
        <w:t xml:space="preserve">.</w:t>
      </w:r>
    </w:p>
    <w:p>
      <w:pPr>
        <w:numPr>
          <w:ilvl w:val="0"/>
          <w:numId w:val="1001"/>
        </w:numPr>
        <w:spacing w:after="40"/>
      </w:pPr>
      <w:r>
        <w:rPr>
          <w:sz w:val="18"/>
        </w:rPr>
        <w:t xml:space="preserve">M. T. Wende,</w:t>
      </w:r>
      <w:r>
        <w:rPr>
          <w:sz w:val="18"/>
        </w:rPr>
        <w:t xml:space="preserve"> </w:t>
      </w:r>
      <w:r>
        <w:rPr>
          <w:iCs/>
          <w:i/>
          <w:sz w:val="18"/>
        </w:rPr>
        <w:t xml:space="preserve">BFG Canonical Universal Reclosure Architecture Preprint</w:t>
      </w:r>
      <w:r>
        <w:rPr>
          <w:sz w:val="18"/>
        </w:rPr>
        <w:t xml:space="preserve">, 22 September 2026,</w:t>
      </w:r>
      <w:r>
        <w:rPr>
          <w:sz w:val="18"/>
        </w:rPr>
        <w:t xml:space="preserve"> </w:t>
      </w:r>
      <w:hyperlink r:id="rId36">
        <w:r>
          <w:rPr>
            <w:rStyle w:val="Hyperlink"/>
          </w:rPr>
          <w:t xml:space="preserve">https://github.com/marceltheodorwende-ops/BalanceFieldResearch/tree/main/papers/canonical-2026-09-22</w:t>
        </w:r>
      </w:hyperlink>
      <w:r>
        <w:rPr>
          <w:sz w:val="18"/>
        </w:rPr>
        <w:t xml:space="preserve">.</w:t>
      </w:r>
    </w:p>
    <w:p>
      <w:pPr>
        <w:numPr>
          <w:ilvl w:val="0"/>
          <w:numId w:val="1001"/>
        </w:numPr>
        <w:spacing w:after="40"/>
      </w:pPr>
      <w:r>
        <w:rPr>
          <w:sz w:val="18"/>
        </w:rPr>
        <w:t xml:space="preserve">M. T. Wende,</w:t>
      </w:r>
      <w:r>
        <w:rPr>
          <w:sz w:val="18"/>
        </w:rPr>
        <w:t xml:space="preserve"> </w:t>
      </w:r>
      <w:r>
        <w:rPr>
          <w:iCs/>
          <w:i/>
          <w:sz w:val="18"/>
        </w:rPr>
        <w:t xml:space="preserve">BFG Canonical Reclosure and Structural Novelty Preprint</w:t>
      </w:r>
      <w:r>
        <w:rPr>
          <w:sz w:val="18"/>
        </w:rPr>
        <w:t xml:space="preserve">, 22 September 2026, same repository and directory as [4].</w:t>
      </w:r>
    </w:p>
    <w:p>
      <w:pPr>
        <w:numPr>
          <w:ilvl w:val="0"/>
          <w:numId w:val="1001"/>
        </w:numPr>
        <w:spacing w:after="40"/>
      </w:pPr>
      <w:r>
        <w:rPr>
          <w:iCs/>
          <w:i/>
          <w:sz w:val="18"/>
        </w:rPr>
        <w:t xml:space="preserve">BFG Unified Finite Neutral Spine and Explicit Proof-Chain Audit</w:t>
      </w:r>
      <w:r>
        <w:rPr>
          <w:sz w:val="18"/>
        </w:rPr>
        <w:t xml:space="preserve">, 26–29 September 2026,</w:t>
      </w:r>
      <w:r>
        <w:rPr>
          <w:sz w:val="18"/>
        </w:rPr>
        <w:t xml:space="preserve"> </w:t>
      </w:r>
      <w:hyperlink r:id="rId37">
        <w:r>
          <w:rPr>
            <w:rStyle w:val="Hyperlink"/>
          </w:rPr>
          <w:t xml:space="preserve">https://github.com/marceltheodorwende-ops/BalanceFieldResearch/tree/main/research/completion-boundary-2026-09-29</w:t>
        </w:r>
      </w:hyperlink>
      <w:r>
        <w:rPr>
          <w:sz w:val="18"/>
        </w:rPr>
        <w:t xml:space="preserve">.</w:t>
      </w:r>
    </w:p>
    <w:p>
      <w:pPr>
        <w:numPr>
          <w:ilvl w:val="0"/>
          <w:numId w:val="1001"/>
        </w:numPr>
        <w:spacing w:after="40"/>
      </w:pPr>
      <w:r>
        <w:rPr>
          <w:sz w:val="18"/>
        </w:rPr>
        <w:t xml:space="preserve">M. T. Wende,</w:t>
      </w:r>
      <w:r>
        <w:rPr>
          <w:sz w:val="18"/>
        </w:rPr>
        <w:t xml:space="preserve"> </w:t>
      </w:r>
      <w:r>
        <w:rPr>
          <w:iCs/>
          <w:i/>
          <w:sz w:val="18"/>
        </w:rPr>
        <w:t xml:space="preserve">BFG Universal Reclosure and Emergence Preprint</w:t>
      </w:r>
      <w:r>
        <w:rPr>
          <w:sz w:val="18"/>
        </w:rPr>
        <w:t xml:space="preserve">, 29 September 2026,</w:t>
      </w:r>
      <w:r>
        <w:rPr>
          <w:sz w:val="18"/>
        </w:rPr>
        <w:t xml:space="preserve"> </w:t>
      </w:r>
      <w:hyperlink r:id="rId38">
        <w:r>
          <w:rPr>
            <w:rStyle w:val="Hyperlink"/>
          </w:rPr>
          <w:t xml:space="preserve">https://github.com/marceltheodorwende-ops/BalanceFieldResearch/tree/main/papers/universal-reclosure-emergence-2026-09-29</w:t>
        </w:r>
      </w:hyperlink>
      <w:r>
        <w:rPr>
          <w:sz w:val="18"/>
        </w:rPr>
        <w:t xml:space="preserve">.</w:t>
      </w:r>
    </w:p>
    <w:p>
      <w:pPr>
        <w:numPr>
          <w:ilvl w:val="0"/>
          <w:numId w:val="1001"/>
        </w:numPr>
        <w:spacing w:after="40"/>
      </w:pPr>
      <w:r>
        <w:rPr>
          <w:sz w:val="18"/>
        </w:rPr>
        <w:t xml:space="preserve">R. A. Horn and C. R. Johnson,</w:t>
      </w:r>
      <w:r>
        <w:rPr>
          <w:sz w:val="18"/>
        </w:rPr>
        <w:t xml:space="preserve"> </w:t>
      </w:r>
      <w:r>
        <w:rPr>
          <w:iCs/>
          <w:i/>
          <w:sz w:val="18"/>
        </w:rPr>
        <w:t xml:space="preserve">Matrix Analysis</w:t>
      </w:r>
      <w:r>
        <w:rPr>
          <w:sz w:val="18"/>
        </w:rPr>
        <w:t xml:space="preserve">, 2nd ed., Cambridge University Press, 2012,</w:t>
      </w:r>
      <w:r>
        <w:rPr>
          <w:sz w:val="18"/>
        </w:rPr>
        <w:t xml:space="preserve"> </w:t>
      </w:r>
      <w:hyperlink r:id="rId39">
        <w:r>
          <w:rPr>
            <w:rStyle w:val="Hyperlink"/>
          </w:rPr>
          <w:t xml:space="preserve">https://www.cambridge.org/highereducation/books/matrix-analysis/FDA3627DC2B9F5C3DF2FD8C3CC136B48</w:t>
        </w:r>
      </w:hyperlink>
      <w:r>
        <w:rPr>
          <w:sz w:val="18"/>
        </w:rPr>
        <w:t xml:space="preserve">.</w:t>
      </w:r>
    </w:p>
    <w:p>
      <w:pPr>
        <w:numPr>
          <w:ilvl w:val="0"/>
          <w:numId w:val="1001"/>
        </w:numPr>
        <w:spacing w:after="40"/>
      </w:pPr>
      <w:r>
        <w:rPr>
          <w:sz w:val="18"/>
        </w:rPr>
        <w:t xml:space="preserve">T. Kato,</w:t>
      </w:r>
      <w:r>
        <w:rPr>
          <w:sz w:val="18"/>
        </w:rPr>
        <w:t xml:space="preserve"> </w:t>
      </w:r>
      <w:r>
        <w:rPr>
          <w:iCs/>
          <w:i/>
          <w:sz w:val="18"/>
        </w:rPr>
        <w:t xml:space="preserve">Perturbation Theory for Linear Operators</w:t>
      </w:r>
      <w:r>
        <w:rPr>
          <w:sz w:val="18"/>
        </w:rPr>
        <w:t xml:space="preserve">, Springer, 1966,</w:t>
      </w:r>
      <w:r>
        <w:rPr>
          <w:sz w:val="18"/>
        </w:rPr>
        <w:t xml:space="preserve"> </w:t>
      </w:r>
      <w:hyperlink r:id="rId40">
        <w:r>
          <w:rPr>
            <w:rStyle w:val="Hyperlink"/>
          </w:rPr>
          <w:t xml:space="preserve">https://doi.org/10.1007/978-3-662-12678-3</w:t>
        </w:r>
      </w:hyperlink>
      <w:r>
        <w:rPr>
          <w:sz w:val="18"/>
        </w:rPr>
        <w:t xml:space="preserve">.</w:t>
      </w:r>
    </w:p>
    <w:p>
      <w:pPr>
        <w:numPr>
          <w:ilvl w:val="0"/>
          <w:numId w:val="1001"/>
        </w:numPr>
        <w:spacing w:after="40"/>
      </w:pPr>
      <w:r>
        <w:rPr>
          <w:sz w:val="18"/>
        </w:rPr>
        <w:t xml:space="preserve">E. V. Haynsworth,</w:t>
      </w:r>
      <w:r>
        <w:rPr>
          <w:sz w:val="18"/>
        </w:rPr>
        <w:t xml:space="preserve"> </w:t>
      </w:r>
      <w:r>
        <w:rPr>
          <w:sz w:val="18"/>
        </w:rPr>
        <w:t xml:space="preserve">“</w:t>
      </w:r>
      <w:r>
        <w:rPr>
          <w:sz w:val="18"/>
        </w:rPr>
        <w:t xml:space="preserve">Determination of the inertia of a partitioned Hermitian matrix,</w:t>
      </w:r>
      <w:r>
        <w:rPr>
          <w:sz w:val="18"/>
        </w:rPr>
        <w:t xml:space="preserve">”</w:t>
      </w:r>
      <w:r>
        <w:rPr>
          <w:sz w:val="18"/>
        </w:rPr>
        <w:t xml:space="preserve"> </w:t>
      </w:r>
      <w:r>
        <w:rPr>
          <w:iCs/>
          <w:i/>
          <w:sz w:val="18"/>
        </w:rPr>
        <w:t xml:space="preserve">Linear Algebra and Its Applications</w:t>
      </w:r>
      <w:r>
        <w:rPr>
          <w:sz w:val="18"/>
        </w:rPr>
        <w:t xml:space="preserve"> </w:t>
      </w:r>
      <w:r>
        <w:rPr>
          <w:sz w:val="18"/>
        </w:rPr>
        <w:t xml:space="preserve">1 (1968), 73–81,</w:t>
      </w:r>
      <w:r>
        <w:rPr>
          <w:sz w:val="18"/>
        </w:rPr>
        <w:t xml:space="preserve"> </w:t>
      </w:r>
      <w:hyperlink r:id="rId41">
        <w:r>
          <w:rPr>
            <w:rStyle w:val="Hyperlink"/>
          </w:rPr>
          <w:t xml:space="preserve">https://doi.org/10.1016/0024-3795(68)90050-5</w:t>
        </w:r>
      </w:hyperlink>
      <w:r>
        <w:rPr>
          <w:sz w:val="18"/>
        </w:rPr>
        <w:t xml:space="preserve">.</w:t>
      </w:r>
    </w:p>
    <w:p>
      <w:pPr>
        <w:numPr>
          <w:ilvl w:val="0"/>
          <w:numId w:val="1001"/>
        </w:numPr>
        <w:spacing w:after="40"/>
      </w:pPr>
      <w:r>
        <w:rPr>
          <w:sz w:val="18"/>
        </w:rPr>
        <w:t xml:space="preserve">N. J. Higham,</w:t>
      </w:r>
      <w:r>
        <w:rPr>
          <w:sz w:val="18"/>
        </w:rPr>
        <w:t xml:space="preserve"> </w:t>
      </w:r>
      <w:r>
        <w:rPr>
          <w:sz w:val="18"/>
        </w:rPr>
        <w:t xml:space="preserve">“</w:t>
      </w:r>
      <w:r>
        <w:rPr>
          <w:sz w:val="18"/>
        </w:rPr>
        <w:t xml:space="preserve">Computing the polar decomposition—with applications,</w:t>
      </w:r>
      <w:r>
        <w:rPr>
          <w:sz w:val="18"/>
        </w:rPr>
        <w:t xml:space="preserve">”</w:t>
      </w:r>
      <w:r>
        <w:rPr>
          <w:sz w:val="18"/>
        </w:rPr>
        <w:t xml:space="preserve"> </w:t>
      </w:r>
      <w:r>
        <w:rPr>
          <w:iCs/>
          <w:i/>
          <w:sz w:val="18"/>
        </w:rPr>
        <w:t xml:space="preserve">SIAM Journal on Scientific and Statistical Computing</w:t>
      </w:r>
      <w:r>
        <w:rPr>
          <w:sz w:val="18"/>
        </w:rPr>
        <w:t xml:space="preserve"> </w:t>
      </w:r>
      <w:r>
        <w:rPr>
          <w:sz w:val="18"/>
        </w:rPr>
        <w:t xml:space="preserve">7 (1986), 1160–1174,</w:t>
      </w:r>
      <w:r>
        <w:rPr>
          <w:sz w:val="18"/>
        </w:rPr>
        <w:t xml:space="preserve"> </w:t>
      </w:r>
      <w:hyperlink r:id="rId42">
        <w:r>
          <w:rPr>
            <w:rStyle w:val="Hyperlink"/>
          </w:rPr>
          <w:t xml:space="preserve">https://doi.org/10.1137/0907079</w:t>
        </w:r>
      </w:hyperlink>
      <w:r>
        <w:rPr>
          <w:sz w:val="18"/>
        </w:rPr>
        <w:t xml:space="preserve">.</w:t>
      </w:r>
    </w:p>
    <w:p>
      <w:pPr>
        <w:numPr>
          <w:ilvl w:val="0"/>
          <w:numId w:val="1001"/>
        </w:numPr>
        <w:spacing w:after="40"/>
      </w:pPr>
      <w:r>
        <w:rPr>
          <w:sz w:val="18"/>
        </w:rPr>
        <w:t xml:space="preserve">C. Davis and W. M. Kahan,</w:t>
      </w:r>
      <w:r>
        <w:rPr>
          <w:sz w:val="18"/>
        </w:rPr>
        <w:t xml:space="preserve"> </w:t>
      </w:r>
      <w:r>
        <w:rPr>
          <w:sz w:val="18"/>
        </w:rPr>
        <w:t xml:space="preserve">“</w:t>
      </w:r>
      <w:r>
        <w:rPr>
          <w:sz w:val="18"/>
        </w:rPr>
        <w:t xml:space="preserve">The rotation of eigenvectors by a perturbation. III,</w:t>
      </w:r>
      <w:r>
        <w:rPr>
          <w:sz w:val="18"/>
        </w:rPr>
        <w:t xml:space="preserve">”</w:t>
      </w:r>
      <w:r>
        <w:rPr>
          <w:sz w:val="18"/>
        </w:rPr>
        <w:t xml:space="preserve"> </w:t>
      </w:r>
      <w:r>
        <w:rPr>
          <w:iCs/>
          <w:i/>
          <w:sz w:val="18"/>
        </w:rPr>
        <w:t xml:space="preserve">SIAM Journal on Numerical Analysis</w:t>
      </w:r>
      <w:r>
        <w:rPr>
          <w:sz w:val="18"/>
        </w:rPr>
        <w:t xml:space="preserve"> </w:t>
      </w:r>
      <w:r>
        <w:rPr>
          <w:sz w:val="18"/>
        </w:rPr>
        <w:t xml:space="preserve">7 (1970), 1–46,</w:t>
      </w:r>
      <w:r>
        <w:rPr>
          <w:sz w:val="18"/>
        </w:rPr>
        <w:t xml:space="preserve"> </w:t>
      </w:r>
      <w:hyperlink r:id="rId43">
        <w:r>
          <w:rPr>
            <w:rStyle w:val="Hyperlink"/>
          </w:rPr>
          <w:t xml:space="preserve">https://doi.org/10.1137/0707001</w:t>
        </w:r>
      </w:hyperlink>
      <w:r>
        <w:rPr>
          <w:sz w:val="18"/>
        </w:rPr>
        <w:t xml:space="preserve">.</w:t>
      </w:r>
    </w:p>
    <w:p>
      <w:pPr>
        <w:pStyle w:val="FirstParagraph"/>
        <w:keepLines/>
      </w:pPr>
      <w:r>
        <w:rPr>
          <w:bCs/>
          <w:b/>
        </w:rPr>
        <w:t xml:space="preserve">Declarations.</w:t>
      </w:r>
      <w:r>
        <w:t xml:space="preserve"> </w:t>
      </w:r>
      <w:r>
        <w:t xml:space="preserve">Theoretical proposal; no natural-system experiment. Draft prepared with AI assistance. Author review is required before public attribution or adoption of the rules.</w:t>
      </w:r>
    </w:p>
    <w:bookmarkEnd w:id="44"/>
    <w:sectPr w:rsidR="00FC693F" w:rsidRPr="0006063C" w:rsidSect="00034616">
      <w:headerReference r:id="rId9" w:type="default"/>
      <w:footerReference r:id="rId10" w:type="default"/>
      <w:pgSz w:h="15840" w:w="12240"/>
      <w:pgMar w:bottom="1123" w:footer="504" w:gutter="0" w:header="461"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Marcel Theodor Wende  •  30 September 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4B4B4B"/>
        <w:sz w:val="16"/>
      </w:rPr>
      <w:t>BALANCEFELD GLEICHUNG  •  NEUTRAL FIRST FINITE COMPLETION  •  PREPRINT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1" w:lineRule="auto"/>
    </w:pPr>
    <w:rPr>
      <w:rFonts w:ascii="Cambria" w:hAnsi="Cambria"/>
      <w:color w:val="141414"/>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00"/>
      <w:outlineLvl w:val="0"/>
    </w:pPr>
    <w:rPr>
      <w:rFonts w:ascii="Cambria" w:asciiTheme="majorHAnsi" w:cstheme="majorBidi" w:eastAsiaTheme="majorEastAsia" w:hAnsi="Cambria" w:hAnsiTheme="majorHAnsi"/>
      <w:b/>
      <w:bCs/>
      <w:color w:val="000000"/>
      <w:sz w:val="26"/>
      <w:szCs w:val="28"/>
    </w:rPr>
  </w:style>
  <w:style w:styleId="Heading2" w:type="paragraph">
    <w:name w:val="heading 2"/>
    <w:basedOn w:val="Normal"/>
    <w:next w:val="Normal"/>
    <w:link w:val="Heading2Char"/>
    <w:uiPriority w:val="9"/>
    <w:unhideWhenUsed/>
    <w:qFormat/>
    <w:rsid w:val="00FC693F"/>
    <w:pPr>
      <w:keepNext/>
      <w:keepLines/>
      <w:spacing w:after="100" w:before="220"/>
      <w:outlineLvl w:val="1"/>
    </w:pPr>
    <w:rPr>
      <w:rFonts w:ascii="Cambria" w:asciiTheme="majorHAnsi" w:cstheme="majorBidi" w:eastAsiaTheme="majorEastAsia" w:hAnsi="Cambria" w:hAnsiTheme="majorHAnsi"/>
      <w:b/>
      <w:bCs/>
      <w:color w:val="000000"/>
      <w:sz w:val="2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220" w:before="0" w:line="240" w:lineRule="auto"/>
      <w:contextualSpacing/>
      <w:pBdr>
        <w:bottom w:val="nil"/>
      </w:pBdr>
    </w:pPr>
    <w:rPr>
      <w:rFonts w:ascii="Cambria" w:asciiTheme="majorHAnsi" w:cstheme="majorBidi" w:eastAsiaTheme="majorEastAsia" w:hAnsi="Cambria" w:hAnsiTheme="majorHAnsi"/>
      <w:b/>
      <w:color w:val="000000"/>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80" w:before="0"/>
    </w:pPr>
    <w:rPr>
      <w:rFonts w:ascii="Cambria" w:asciiTheme="majorHAnsi" w:cstheme="majorBidi" w:eastAsiaTheme="majorEastAsia" w:hAnsi="Cambria" w:hAnsiTheme="majorHAnsi"/>
      <w:b w:val="0"/>
      <w:i/>
      <w:iCs/>
      <w:color w:val="000000"/>
      <w:spacing w:val="15"/>
      <w:sz w:val="2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Equation" w:type="paragraph">
    <w:name w:val="Equation"/>
    <w:pPr>
      <w:tabs>
        <w:tab w:pos="9432" w:val="right"/>
        <w:tab w:pos="9590" w:val="right"/>
      </w:tabs>
      <w:spacing w:after="140" w:before="100"/>
      <w:ind w:left="403"/>
    </w:pPr>
    <w:rPr>
      <w:rFonts w:ascii="Cambria Math" w:hAnsi="Cambria Math"/>
      <w:color w:val="000000"/>
      <w:sz w:val="20"/>
    </w:rPr>
  </w:style>
  <w:style w:customStyle="1" w:styleId="CaptionBFG" w:type="paragraph">
    <w:name w:val="Caption BFG"/>
    <w:pPr>
      <w:spacing w:after="220" w:before="100"/>
    </w:pPr>
    <w:rPr>
      <w:rFonts w:ascii="Cambria" w:hAnsi="Cambria"/>
      <w:i/>
      <w:color w:val="232323"/>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6" Type="http://schemas.openxmlformats.org/officeDocument/2006/relationships/image" Target="media/rId26.png"/><Relationship Id="rId40" Type="http://schemas.openxmlformats.org/officeDocument/2006/relationships/hyperlink" Target="https://doi.org/10.1007/978-3-662-12678-3" TargetMode="External"/><Relationship Id="rId41" Type="http://schemas.openxmlformats.org/officeDocument/2006/relationships/hyperlink" Target="https://doi.org/10.1016/0024-3795(68)90050-5" TargetMode="External"/><Relationship Id="rId43" Type="http://schemas.openxmlformats.org/officeDocument/2006/relationships/hyperlink" Target="https://doi.org/10.1137/0707001" TargetMode="External"/><Relationship Id="rId42" Type="http://schemas.openxmlformats.org/officeDocument/2006/relationships/hyperlink" Target="https://doi.org/10.1137/0907079" TargetMode="External"/><Relationship Id="rId35" Type="http://schemas.openxmlformats.org/officeDocument/2006/relationships/hyperlink" Target="https://github.com/marceltheodorwende-ops/BalanceFieldResearch/blob/main/papers/BFG_Strong_Universal_Reclosure_Whitepaper_2026-09-08.pdf" TargetMode="External"/><Relationship Id="rId36" Type="http://schemas.openxmlformats.org/officeDocument/2006/relationships/hyperlink" Target="https://github.com/marceltheodorwende-ops/BalanceFieldResearch/tree/main/papers/canonical-2026-09-22" TargetMode="External"/><Relationship Id="rId38" Type="http://schemas.openxmlformats.org/officeDocument/2006/relationships/hyperlink" Target="https://github.com/marceltheodorwende-ops/BalanceFieldResearch/tree/main/papers/universal-reclosure-emergence-2026-09-29" TargetMode="External"/><Relationship Id="rId37" Type="http://schemas.openxmlformats.org/officeDocument/2006/relationships/hyperlink" Target="https://github.com/marceltheodorwende-ops/BalanceFieldResearch/tree/main/research/completion-boundary-2026-09-29" TargetMode="External"/><Relationship Id="rId34" Type="http://schemas.openxmlformats.org/officeDocument/2006/relationships/hyperlink" Target="https://independent.academia.edu/MarcelWende" TargetMode="External"/><Relationship Id="rId20" Type="http://schemas.openxmlformats.org/officeDocument/2006/relationships/hyperlink" Target="https://orcid.org/0009-0007-4028-2208" TargetMode="External"/><Relationship Id="rId33" Type="http://schemas.openxmlformats.org/officeDocument/2006/relationships/hyperlink" Target="https://www.academia.edu/167365210/" TargetMode="External"/><Relationship Id="rId39" Type="http://schemas.openxmlformats.org/officeDocument/2006/relationships/hyperlink" Target="https://www.cambridge.org/highereducation/books/matrix-analysis/FDA3627DC2B9F5C3DF2FD8C3CC136B48" TargetMode="External"/></Relationships>
</file>

<file path=word/_rels/footnotes.xml.rels><?xml version='1.0' encoding='UTF-8' standalone='yes'?>
<Relationships xmlns="http://schemas.openxmlformats.org/package/2006/relationships"><Relationship Id="rId40" Type="http://schemas.openxmlformats.org/officeDocument/2006/relationships/hyperlink" Target="https://doi.org/10.1007/978-3-662-12678-3" TargetMode="External"/><Relationship Id="rId41" Type="http://schemas.openxmlformats.org/officeDocument/2006/relationships/hyperlink" Target="https://doi.org/10.1016/0024-3795(68)90050-5" TargetMode="External"/><Relationship Id="rId43" Type="http://schemas.openxmlformats.org/officeDocument/2006/relationships/hyperlink" Target="https://doi.org/10.1137/0707001" TargetMode="External"/><Relationship Id="rId42" Type="http://schemas.openxmlformats.org/officeDocument/2006/relationships/hyperlink" Target="https://doi.org/10.1137/0907079" TargetMode="External"/><Relationship Id="rId35" Type="http://schemas.openxmlformats.org/officeDocument/2006/relationships/hyperlink" Target="https://github.com/marceltheodorwende-ops/BalanceFieldResearch/blob/main/papers/BFG_Strong_Universal_Reclosure_Whitepaper_2026-09-08.pdf" TargetMode="External"/><Relationship Id="rId36" Type="http://schemas.openxmlformats.org/officeDocument/2006/relationships/hyperlink" Target="https://github.com/marceltheodorwende-ops/BalanceFieldResearch/tree/main/papers/canonical-2026-09-22" TargetMode="External"/><Relationship Id="rId38" Type="http://schemas.openxmlformats.org/officeDocument/2006/relationships/hyperlink" Target="https://github.com/marceltheodorwende-ops/BalanceFieldResearch/tree/main/papers/universal-reclosure-emergence-2026-09-29" TargetMode="External"/><Relationship Id="rId37" Type="http://schemas.openxmlformats.org/officeDocument/2006/relationships/hyperlink" Target="https://github.com/marceltheodorwende-ops/BalanceFieldResearch/tree/main/research/completion-boundary-2026-09-29" TargetMode="External"/><Relationship Id="rId34" Type="http://schemas.openxmlformats.org/officeDocument/2006/relationships/hyperlink" Target="https://independent.academia.edu/MarcelWende" TargetMode="External"/><Relationship Id="rId20" Type="http://schemas.openxmlformats.org/officeDocument/2006/relationships/hyperlink" Target="https://orcid.org/0009-0007-4028-2208" TargetMode="External"/><Relationship Id="rId33" Type="http://schemas.openxmlformats.org/officeDocument/2006/relationships/hyperlink" Target="https://www.academia.edu/167365210/" TargetMode="External"/><Relationship Id="rId39" Type="http://schemas.openxmlformats.org/officeDocument/2006/relationships/hyperlink" Target="https://www.cambridge.org/highereducation/books/matrix-analysis/FDA3627DC2B9F5C3DF2FD8C3CC136B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Neutral-First Finite Completion of the Balance-Field Framework A proposed source law, exact tangent reduction, and conditional successor</dc:title>
  <dc:creator>Marcel Theodor Wende Independent researchmarcel-wende@gmx.net ORCID: 0009-0007-4028-2208</dc:creator>
  <cp:keywords/>
  <dcterms:created xsi:type="dcterms:W3CDTF">2026-09-30T05:01:44Z</dcterms:created>
  <dcterms:modified xsi:type="dcterms:W3CDTF">2026-09-30T05:01:44Z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Balance-Field Framework (BFG) places neutral admissibility before or alongside formed distinctions, but its existing Level-0 formation functional and its exact neutral completion do not identify a unique channel between them. We state a neutral-capacity source rule in a finite-dimensional formed-branch tangent sector. The rule identifies the mixed source–neutral Hessian with the already named neutral-capacity operator and gives the completed neutral cost the formed-branch Hessian metric. These are new constitutive identifications, expressed in BFG quantities, rather than consequences of the earlier formation equation. They uniquely determine the tangent channel, its Gram load, and the exact neutral resolvent. A general Schur-complement characterization proves that both identifications are necessary for this particular completion. Scalar countermodels establish non-uniqueness under the older data; a two-dimensional example retains a noncommuting neutral load. Three separately declared finite successor rules give a conditional, rank-aware self-map with exact terminal gates. This paper neither asserts a derivation of its new source rule from the older Level-0 text nor identifies a natural physical mediator or proves universal irreducible emergence.</vt:lpwstr>
  </property>
  <property fmtid="{D5CDD505-2E9C-101B-9397-08002B2CF9AE}" pid="3" name="date">
    <vt:lpwstr>30 September 2026Preprint – proposed mathematical extension</vt:lpwstr>
  </property>
</Properties>
</file>