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F4E79"/>
          <w:sz w:val="48"/>
        </w:rPr>
        <w:t>BALANCE–FIELD THEORY</w:t>
      </w:r>
    </w:p>
    <w:p>
      <w:pPr>
        <w:jc w:val="center"/>
      </w:pPr>
      <w:r>
        <w:rPr>
          <w:rFonts w:ascii="Aptos Display" w:hAnsi="Aptos Display"/>
          <w:b/>
          <w:color w:val="1F4E79"/>
          <w:sz w:val="32"/>
        </w:rPr>
        <w:t>Universal Structural Whitepaper — Strong Form Version 2</w:t>
      </w:r>
    </w:p>
    <w:p>
      <w:pPr>
        <w:jc w:val="center"/>
      </w:pPr>
      <w:r>
        <w:rPr>
          <w:rFonts w:ascii="Aptos" w:hAnsi="Aptos"/>
          <w:i/>
          <w:color w:val="595959"/>
          <w:sz w:val="22"/>
        </w:rPr>
        <w:t>Local Physical Closure Edition</w:t>
      </w:r>
    </w:p>
    <w:p>
      <w:pPr>
        <w:spacing w:before="160"/>
        <w:jc w:val="center"/>
      </w:pPr>
      <w:r>
        <w:rPr>
          <w:rFonts w:ascii="Aptos" w:hAnsi="Aptos"/>
          <w:sz w:val="22"/>
        </w:rPr>
        <w:t>A Unified Mathematical Architecture of Trinitarian Formation, Exact Neutral Elimination,</w:t>
        <w:br/>
        <w:t>Recursive Persistence, Emergent Spacetime, Local Physical Closure, Gravity,</w:t>
        <w:br/>
        <w:t>Dark-Sector Response, Terminal Residuals, and Strong-Field Saturation</w:t>
      </w:r>
    </w:p>
    <w:p/>
    <w:tbl>
      <w:tblPr>
        <w:tblW w:type="auto" w:w="0"/>
        <w:jc w:val="center"/>
        <w:tblLook w:firstColumn="1" w:firstRow="1" w:lastColumn="0" w:lastRow="0" w:noHBand="0" w:noVBand="1" w:val="04A0"/>
      </w:tblPr>
      <w:tblGrid>
        <w:gridCol w:w="9878"/>
      </w:tblGrid>
      <w:tr>
        <w:trPr>
          <w:cantSplit/>
        </w:trPr>
        <w:tc>
          <w:tcPr>
            <w:tcW w:type="dxa" w:w="9878"/>
            <w:shd w:fill="F7F9FB"/>
            <w:tcBorders>
              <w:top w:val="single" w:sz="5" w:color="B4C7DC"/>
              <w:left w:val="single" w:sz="5" w:color="B4C7DC"/>
              <w:bottom w:val="single" w:sz="5" w:color="B4C7DC"/>
              <w:right w:val="single" w:sz="5" w:color="B4C7DC"/>
            </w:tcBorders>
            <w:tcMar>
              <w:top w:w="120" w:type="dxa"/>
              <w:start w:w="150" w:type="dxa"/>
              <w:bottom w:w="120" w:type="dxa"/>
              <w:end w:w="150" w:type="dxa"/>
            </w:tcMar>
            <w:vAlign w:val="center"/>
          </w:tcPr>
          <w:p>
            <w:pPr>
              <w:spacing w:after="20"/>
              <w:jc w:val="center"/>
            </w:pPr>
            <w:r>
              <w:rPr>
                <w:rFonts w:ascii="Aptos" w:hAnsi="Aptos"/>
                <w:b/>
                <w:sz w:val="22"/>
              </w:rPr>
              <w:t>Marcel Theodor Wende</w:t>
            </w:r>
          </w:p>
          <w:p>
            <w:pPr>
              <w:spacing w:after="0"/>
              <w:jc w:val="center"/>
            </w:pPr>
            <w:r>
              <w:rPr>
                <w:rFonts w:ascii="Aptos" w:hAnsi="Aptos"/>
              </w:rPr>
              <w:t>Balance-Field Framework (BFG) · Independent Researcher</w:t>
            </w:r>
          </w:p>
          <w:p>
            <w:pPr>
              <w:spacing w:after="0"/>
              <w:jc w:val="center"/>
            </w:pPr>
            <w:r>
              <w:rPr>
                <w:rFonts w:ascii="Aptos" w:hAnsi="Aptos"/>
              </w:rPr>
              <w:t>E-mail: marcel-wende@gmx.net</w:t>
            </w:r>
          </w:p>
          <w:p>
            <w:pPr>
              <w:spacing w:after="0"/>
              <w:jc w:val="center"/>
            </w:pPr>
            <w:r>
              <w:rPr>
                <w:rFonts w:ascii="Aptos" w:hAnsi="Aptos"/>
              </w:rPr>
              <w:t>ORCID: 0009-0007-4028-2208</w:t>
            </w:r>
          </w:p>
          <w:p>
            <w:pPr>
              <w:spacing w:after="0"/>
              <w:jc w:val="center"/>
            </w:pPr>
            <w:r>
              <w:rPr>
                <w:rFonts w:ascii="Aptos" w:hAnsi="Aptos"/>
              </w:rPr>
              <w:t>September 2026</w:t>
            </w:r>
          </w:p>
        </w:tc>
      </w:tr>
    </w:tbl>
    <w:p>
      <w:pPr>
        <w:spacing w:before="360"/>
        <w:jc w:val="center"/>
      </w:pPr>
      <w:r>
        <w:rPr>
          <w:i/>
          <w:color w:val="646464"/>
          <w:sz w:val="17"/>
        </w:rPr>
        <w:t>Scientific status: structural theory and research program; not an assertion that BFG is established fundamental physics.</w:t>
      </w:r>
    </w:p>
    <w:p>
      <w:pPr>
        <w:spacing w:before="60"/>
        <w:jc w:val="center"/>
      </w:pPr>
      <w:r>
        <w:rPr>
          <w:color w:val="646464"/>
          <w:sz w:val="16"/>
        </w:rPr>
        <w:t>This document supersedes the reviewed, corrected, equation-numbered Universal Structural Whitepaper.</w:t>
      </w:r>
    </w:p>
    <w:p>
      <w:r>
        <w:br w:type="page"/>
      </w:r>
    </w:p>
    <w:p>
      <w:pPr>
        <w:pStyle w:val="Heading1"/>
        <w:keepNext/>
        <w:keepLines/>
      </w:pPr>
      <w:r>
        <w:t>Abstract</w:t>
      </w:r>
    </w:p>
    <w:p>
      <w:pPr/>
      <w:r>
        <w:rPr>
          <w:i w:val="0"/>
        </w:rPr>
        <w:t>This whitepaper presents Strong Form Version 2 of the Balance-Field Theory (BFG) as a unified mathematical research architecture. Version 2 preserves the pre-polar Level-0 formation theorem, positive master closure geometry, exact neutral resolvent, recursive persistence, Hermitian local spacetime readout, and spectral termination structure of the reviewed edition, while replacing several downstream model completions with a tighter local-closure bridge. The central addition is the Local Physical Closure Principle (LPCP): once a BFG closure enters a smooth, reversible, locally geometric regime, physical propagation is generated by covariantly transported neighboring closure differences and the same positive neutral stiffness that controls admissibility. This yields a universal local response Hessian rather than sector-specific response laws. Exact neutral elimination gives a reduced closure functional and an exact retained/complementary quadratic partition. A positive spectral partition of B_N establishes a no-double-counting theorem across physical readouts. A determinant-based minimal-carrier argument narrows the 1+3 construction to C² under an explicitly stated quadratic-causality assumption. In the minimal single-metric two-derivative branch, the local principal symbol has one common massless causal cone. The geometric gauge block then reduces to massless Fierz-Pauli spin-2 and, under the standard consistency assumptions, to the Einstein infrared branch [23–25]. The Q_Ω background is reformulated as a covariant conserved-current dust branch [26], while the low-acceleration relational response is derived from the universal B_N function through a unique quasistatic primitive, allowing direct comparison with AQUAL-like variational structures [27]. Lensing is no longer assigned a separate rule but must follow from the same metric solution [28,29]. Terminal residuals are assigned a general equation-of-state readout rather than being identified automatically with w=-1. Strong-field saturation yields a conditional local regular-core theorem, while global Kerr and inner-horizon regularity remain explicit open tests. The resulting V2 claim is therefore narrower and stronger: one closure mathematics, one neutral response family, one local physical closure bridge, one complement budget, and no independent downstream nonlinear retuning.</w:t>
      </w:r>
    </w:p>
    <w:p>
      <w:pPr>
        <w:pStyle w:val="Heading2"/>
        <w:keepNext/>
        <w:keepLines/>
      </w:pPr>
      <w:r>
        <w:t>Epistemic status</w:t>
      </w:r>
    </w:p>
    <w:p>
      <w:pPr/>
      <w:r>
        <w:rPr>
          <w:i w:val="0"/>
        </w:rPr>
        <w:t>The paper distinguishes Definitions, Axioms, Theorems, Conditional Theorems, Physical Principles, Model Completions, Spectral Prescriptions, and Empirical Hypotheses. Exact operator statements are proved under their stated assumptions. LPCP is introduced as a new BFG physical principle, not promoted retroactively to a Level-0 theorem. The identification of mathematical sectors with observed gravity, dark matter, dark energy, or compact objects remains empirical and is falsifiable.</w:t>
      </w:r>
    </w:p>
    <w:p>
      <w:pPr>
        <w:pStyle w:val="Heading1"/>
        <w:keepNext/>
        <w:keepLines/>
      </w:pPr>
      <w:r>
        <w:t>Version-2 corrections and upgrades</w:t>
      </w:r>
    </w:p>
    <w:p>
      <w:pPr>
        <w:pStyle w:val="ListBullet"/>
        <w:spacing w:after="50"/>
      </w:pPr>
      <w:r>
        <w:t>Exact neutral elimination added: the auxiliary neutral variable is integrated out and the reduced closure functional is written explicitly.</w:t>
      </w:r>
    </w:p>
    <w:p>
      <w:pPr>
        <w:pStyle w:val="ListBullet"/>
        <w:spacing w:after="50"/>
      </w:pPr>
      <w:r>
        <w:t>Retention and complementary response are given an exact quadratic partition, enabling a mathematically controlled sector budget.</w:t>
      </w:r>
    </w:p>
    <w:p>
      <w:pPr>
        <w:pStyle w:val="ListBullet"/>
        <w:spacing w:after="50"/>
      </w:pPr>
      <w:r>
        <w:t>A positive spectral partition of B_N is introduced, yielding a no-double-counting theorem even when sector projectors do not commute with B_N.</w:t>
      </w:r>
    </w:p>
    <w:p>
      <w:pPr>
        <w:pStyle w:val="ListBullet"/>
        <w:spacing w:after="50"/>
      </w:pPr>
      <w:r>
        <w:t>The C² carrier is upgraded from a free minimal realization to a conditional minimal-carrier theorem within determinant-based quadratic causality.</w:t>
      </w:r>
    </w:p>
    <w:p>
      <w:pPr>
        <w:pStyle w:val="ListBullet"/>
        <w:spacing w:after="50"/>
      </w:pPr>
      <w:r>
        <w:t>The Local Physical Closure Principle replaces independent temporal/spatial propagation coefficients with one local covariant closure bridge.</w:t>
      </w:r>
    </w:p>
    <w:p>
      <w:pPr>
        <w:pStyle w:val="ListBullet"/>
        <w:spacing w:after="50"/>
      </w:pPr>
      <w:r>
        <w:t>The local response Hessian is derived from derivatives of the same resolvent C_N(Y), implementing no-retuning at the level of quadratic response.</w:t>
      </w:r>
    </w:p>
    <w:p>
      <w:pPr>
        <w:pStyle w:val="ListBullet"/>
        <w:spacing w:after="50"/>
      </w:pPr>
      <w:r>
        <w:t>A common causal-cone theorem is stated for the minimal single-metric second-order branch; additional cones require additional upstream tensor structure.</w:t>
      </w:r>
    </w:p>
    <w:p>
      <w:pPr>
        <w:pStyle w:val="ListBullet"/>
        <w:spacing w:after="50"/>
      </w:pPr>
      <w:r>
        <w:t>The gravitational branch is reorganized as LPCP → massless geometric gauge mode → Fierz-Pauli → Einstein infrared branch under explicit assumptions.</w:t>
      </w:r>
    </w:p>
    <w:p>
      <w:pPr>
        <w:pStyle w:val="ListBullet"/>
        <w:spacing w:after="50"/>
      </w:pPr>
      <w:r>
        <w:t>The former convention-dependent Newton normalization is replaced by a TT closure-stiffness normalization.</w:t>
      </w:r>
    </w:p>
    <w:p>
      <w:pPr>
        <w:pStyle w:val="ListBullet"/>
        <w:spacing w:after="50"/>
      </w:pPr>
      <w:r>
        <w:t>Q_Ω background evolution is generated from a covariant conserved-current dust action rather than assumed as a dust-like completion.</w:t>
      </w:r>
    </w:p>
    <w:p>
      <w:pPr>
        <w:pStyle w:val="ListBullet"/>
        <w:spacing w:after="50"/>
      </w:pPr>
      <w:r>
        <w:t>The galactic μ(X) response is derived from B_N and a unique quasistatic primitive; local Q_Ω mass and relational enhancement are prohibited from independent fitting.</w:t>
      </w:r>
    </w:p>
    <w:p>
      <w:pPr>
        <w:pStyle w:val="ListBullet"/>
        <w:spacing w:after="50"/>
      </w:pPr>
      <w:r>
        <w:t>The assumption Φ=Ψ is removed. Gravitational slip and lensing must be computed from the same covariant metric solution.</w:t>
      </w:r>
    </w:p>
    <w:p>
      <w:pPr>
        <w:pStyle w:val="ListBullet"/>
        <w:spacing w:after="50"/>
      </w:pPr>
      <w:r>
        <w:t>Terminality is proven not to imply w=-1. A general residual equation-of-state formula is used, with w=-1 only for a nonpropagating vacuum terminal block.</w:t>
      </w:r>
    </w:p>
    <w:p>
      <w:pPr>
        <w:pStyle w:val="ListBullet"/>
        <w:spacing w:after="50"/>
      </w:pPr>
      <w:r>
        <w:t>Strong-field saturation is separated from global black-hole regularity. A conditional local spherical regular-core theorem is proved; Kerr and inner horizons remain tests.</w:t>
      </w:r>
    </w:p>
    <w:p>
      <w:pPr>
        <w:pStyle w:val="ListBullet"/>
        <w:spacing w:after="50"/>
      </w:pPr>
      <w:r>
        <w:t>The unstable trial law P(Q)=ε B_N(q²) is excluded from the final V2 architecture after stability audit.</w:t>
      </w:r>
    </w:p>
    <w:p>
      <w:pPr>
        <w:pStyle w:val="Heading1"/>
        <w:keepNext/>
        <w:keepLines/>
      </w:pPr>
      <w:r>
        <w:t>Contents</w:t>
      </w:r>
    </w:p>
    <w:p>
      <w:pPr>
        <w:spacing w:after="30"/>
      </w:pPr>
      <w:r>
        <w:t>1. Scope, ontology, and the V2 universal claim</w:t>
      </w:r>
    </w:p>
    <w:p>
      <w:pPr>
        <w:spacing w:after="30"/>
      </w:pPr>
      <w:r>
        <w:t>2. Status categories and notation</w:t>
      </w:r>
    </w:p>
    <w:p>
      <w:pPr>
        <w:spacing w:after="30"/>
      </w:pPr>
      <w:r>
        <w:t>3. Level-0 trinitarian structure</w:t>
      </w:r>
    </w:p>
    <w:p>
      <w:pPr>
        <w:spacing w:after="30"/>
      </w:pPr>
      <w:r>
        <w:t>4. Rigorous formation theorem</w:t>
      </w:r>
    </w:p>
    <w:p>
      <w:pPr>
        <w:spacing w:after="30"/>
      </w:pPr>
      <w:r>
        <w:t>5. Universal neutral closure and exact elimination</w:t>
      </w:r>
    </w:p>
    <w:p>
      <w:pPr>
        <w:spacing w:after="30"/>
      </w:pPr>
      <w:r>
        <w:t>6. Master closure geometry, spectral sectors, and no-retuning</w:t>
      </w:r>
    </w:p>
    <w:p>
      <w:pPr>
        <w:spacing w:after="30"/>
      </w:pPr>
      <w:r>
        <w:t>7. Recursive persistence and candidate time direction</w:t>
      </w:r>
    </w:p>
    <w:p>
      <w:pPr>
        <w:spacing w:after="30"/>
      </w:pPr>
      <w:r>
        <w:t>8. Hermitian soldering and the conditional minimal carrier theorem</w:t>
      </w:r>
    </w:p>
    <w:p>
      <w:pPr>
        <w:spacing w:after="30"/>
      </w:pPr>
      <w:r>
        <w:t>9. Local Physical Closure Principle</w:t>
      </w:r>
    </w:p>
    <w:p>
      <w:pPr>
        <w:spacing w:after="30"/>
      </w:pPr>
      <w:r>
        <w:t>10. Universal response Hessian and common causal cone</w:t>
      </w:r>
    </w:p>
    <w:p>
      <w:pPr>
        <w:spacing w:after="30"/>
      </w:pPr>
      <w:r>
        <w:t>11. Local Lorentz transport, torsion, and curvature</w:t>
      </w:r>
    </w:p>
    <w:p>
      <w:pPr>
        <w:spacing w:after="30"/>
      </w:pPr>
      <w:r>
        <w:t>12. Gravity: massless spin-2 and the Einstein infrared branch</w:t>
      </w:r>
    </w:p>
    <w:p>
      <w:pPr>
        <w:spacing w:after="30"/>
      </w:pPr>
      <w:r>
        <w:t>13. Q_Ω: conserved recursive-current branch</w:t>
      </w:r>
    </w:p>
    <w:p>
      <w:pPr>
        <w:spacing w:after="30"/>
      </w:pPr>
      <w:r>
        <w:t>14. Galactic relational response and no-double-counting</w:t>
      </w:r>
    </w:p>
    <w:p>
      <w:pPr>
        <w:spacing w:after="30"/>
      </w:pPr>
      <w:r>
        <w:t>15. Lensing, linear cosmology, and observational readouts</w:t>
      </w:r>
    </w:p>
    <w:p>
      <w:pPr>
        <w:spacing w:after="30"/>
      </w:pPr>
      <w:r>
        <w:t>16. Q_⊥: terminal residual and equation of state</w:t>
      </w:r>
    </w:p>
    <w:p>
      <w:pPr>
        <w:spacing w:after="30"/>
      </w:pPr>
      <w:r>
        <w:t>17. Strong-field saturation and local regularity</w:t>
      </w:r>
    </w:p>
    <w:p>
      <w:pPr>
        <w:spacing w:after="30"/>
      </w:pPr>
      <w:r>
        <w:t>18. Recursive hierarchy and spectral termination</w:t>
      </w:r>
    </w:p>
    <w:p>
      <w:pPr>
        <w:spacing w:after="30"/>
      </w:pPr>
      <w:r>
        <w:t>19. V2 Structural Closure Theorem</w:t>
      </w:r>
    </w:p>
    <w:p>
      <w:pPr>
        <w:spacing w:after="30"/>
      </w:pPr>
      <w:r>
        <w:t>20. Robustness under perturbations</w:t>
      </w:r>
    </w:p>
    <w:p>
      <w:pPr>
        <w:spacing w:after="30"/>
      </w:pPr>
      <w:r>
        <w:t>21. Unified sector map</w:t>
      </w:r>
    </w:p>
    <w:p>
      <w:pPr>
        <w:spacing w:after="30"/>
      </w:pPr>
      <w:r>
        <w:t>22. Falsification and observational benchmarks</w:t>
      </w:r>
    </w:p>
    <w:p>
      <w:pPr>
        <w:spacing w:after="30"/>
      </w:pPr>
      <w:r>
        <w:t>23. Limitations and unresolved calculations</w:t>
      </w:r>
    </w:p>
    <w:p>
      <w:pPr>
        <w:spacing w:after="30"/>
      </w:pPr>
      <w:r>
        <w:t>24. Research program</w:t>
      </w:r>
    </w:p>
    <w:p>
      <w:pPr>
        <w:spacing w:after="30"/>
      </w:pPr>
      <w:r>
        <w:t>Appendix A. Proof package</w:t>
      </w:r>
    </w:p>
    <w:p>
      <w:pPr>
        <w:spacing w:after="30"/>
      </w:pPr>
      <w:r>
        <w:t>Appendix B. Core symbol table</w:t>
      </w:r>
    </w:p>
    <w:p>
      <w:pPr>
        <w:spacing w:after="30"/>
      </w:pPr>
      <w:r>
        <w:t>Appendix C. V1-to-V2 concordance</w:t>
      </w:r>
    </w:p>
    <w:p>
      <w:pPr>
        <w:spacing w:after="30"/>
      </w:pPr>
      <w:r>
        <w:t>References</w:t>
      </w:r>
    </w:p>
    <w:p>
      <w:pPr>
        <w:pStyle w:val="Heading1"/>
        <w:keepNext/>
        <w:keepLines/>
      </w:pPr>
      <w:r>
        <w:t>1. Scope, Ontology, and the V2 Universal Claim</w:t>
      </w:r>
    </w:p>
    <w:p>
      <w:pPr/>
      <w:r>
        <w:rPr>
          <w:i w:val="0"/>
        </w:rPr>
        <w:t>BFG retains the directed ontology of the reviewed edition: the trinitarian source precedes its later spectral, geometric, and physical realizations [1,2]. The theory does not infer Level 0 from a later contraction/neutral/expansion spectrum. Instead, later spectra are treated as dynamical realizations of a pre-existing closure grammar. Version 2 tightens the universality claim by demanding that local dynamics itself be generated from the same closure machinery.</w:t>
      </w:r>
    </w:p>
    <w:tbl>
      <w:tblPr>
        <w:tblW w:type="auto" w:w="0"/>
        <w:jc w:val="center"/>
        <w:tblLook w:firstColumn="1" w:firstRow="1" w:lastColumn="0" w:lastRow="0" w:noHBand="0" w:noVBand="1" w:val="04A0"/>
      </w:tblPr>
      <w:tblGrid>
        <w:gridCol w:w="9878"/>
      </w:tblGrid>
      <w:tr>
        <w:trPr>
          <w:cantSplit/>
          <w:cantSplit/>
        </w:trPr>
        <w:tc>
          <w:tcPr>
            <w:tcW w:type="dxa" w:w="9878"/>
            <w:shd w:fill="E2F0D9"/>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Central V2 universality principle</w:t>
            </w:r>
          </w:p>
          <w:p>
            <w:pPr>
              <w:spacing w:after="0"/>
            </w:pPr>
            <w:r>
              <w:rPr>
                <w:rFonts w:ascii="Aptos" w:hAnsi="Aptos"/>
              </w:rPr>
              <w:t>Different physical regimes are admissible spectral or representation readouts of one closure architecture. They may differ by projectors, boundary conditions, backgrounds, and representation content, but they may not receive independent nonlinear response laws merely to reproduce observations.</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𝒯₀ → ΔN₀ → (P₁, N, P₂) → K₀ → δ* → H_C → Y_C → {C_N, B_N} → R_C → local physical closure</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K₀ → δ* → H_C → Y_C → C_N(Y_C) → U_C → ∇^C → Γ_phys^(2) → spectral readouts</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w:t>
            </w:r>
          </w:p>
        </w:tc>
      </w:tr>
    </w:tbl>
    <w:p>
      <w:pPr/>
      <w:r>
        <w:rPr>
          <w:i w:val="0"/>
        </w:rPr>
        <w:t>The first chain is ontological and structural. The second is the V2 calculational chain. The new object is not a new sector-specific force law but a single local closure bridge from retained transport to continuum dynamics.</w:t>
      </w:r>
    </w:p>
    <w:p>
      <w:pPr>
        <w:pStyle w:val="Heading1"/>
        <w:keepNext/>
        <w:keepLines/>
      </w:pPr>
      <w:r>
        <w:t>2. Status Categories and Notation</w:t>
      </w:r>
    </w:p>
    <w:tbl>
      <w:tblPr>
        <w:tblStyle w:val="TableGrid"/>
        <w:tblW w:type="auto" w:w="0"/>
        <w:jc w:val="center"/>
        <w:tblLook w:firstColumn="1" w:firstRow="1" w:lastColumn="0" w:lastRow="0" w:noHBand="0" w:noVBand="1" w:val="04A0"/>
      </w:tblPr>
      <w:tblGrid>
        <w:gridCol w:w="4939"/>
        <w:gridCol w:w="4939"/>
      </w:tblGrid>
      <w:tr>
        <w:trPr>
          <w:tblHeader w:val="true"/>
          <w:cantSplit/>
          <w:cantSplit/>
        </w:trPr>
        <w:tc>
          <w:tcPr>
            <w:tcW w:type="dxa" w:w="2088"/>
            <w:shd w:fill="D9EAF7"/>
            <w:vAlign w:val="center"/>
          </w:tcPr>
          <w:p>
            <w:pPr>
              <w:spacing w:after="0"/>
            </w:pPr>
            <w:r>
              <w:rPr>
                <w:rFonts w:ascii="Aptos" w:hAnsi="Aptos"/>
                <w:b/>
                <w:sz w:val="17"/>
              </w:rPr>
              <w:t>Status</w:t>
            </w:r>
          </w:p>
        </w:tc>
        <w:tc>
          <w:tcPr>
            <w:tcW w:type="dxa" w:w="7992"/>
            <w:shd w:fill="D9EAF7"/>
            <w:vAlign w:val="center"/>
          </w:tcPr>
          <w:p>
            <w:pPr>
              <w:spacing w:after="0"/>
            </w:pPr>
            <w:r>
              <w:rPr>
                <w:rFonts w:ascii="Aptos" w:hAnsi="Aptos"/>
                <w:b/>
                <w:sz w:val="17"/>
              </w:rPr>
              <w:t>Meaning</w:t>
            </w:r>
          </w:p>
        </w:tc>
      </w:tr>
      <w:tr>
        <w:trPr>
          <w:cantSplit/>
          <w:cantSplit/>
        </w:trPr>
        <w:tc>
          <w:tcPr>
            <w:tcW w:type="dxa" w:w="2088"/>
            <w:vAlign w:val="center"/>
          </w:tcPr>
          <w:p>
            <w:pPr>
              <w:spacing w:after="0"/>
            </w:pPr>
            <w:r>
              <w:rPr>
                <w:rFonts w:ascii="Aptos" w:hAnsi="Aptos"/>
                <w:sz w:val="17"/>
              </w:rPr>
              <w:t>Definition</w:t>
            </w:r>
          </w:p>
        </w:tc>
        <w:tc>
          <w:tcPr>
            <w:tcW w:type="dxa" w:w="7992"/>
            <w:vAlign w:val="center"/>
          </w:tcPr>
          <w:p>
            <w:pPr>
              <w:spacing w:after="0"/>
            </w:pPr>
            <w:r>
              <w:rPr>
                <w:rFonts w:ascii="Aptos" w:hAnsi="Aptos"/>
                <w:sz w:val="17"/>
              </w:rPr>
              <w:t>Introduces notation or a mathematical object.</w:t>
            </w:r>
          </w:p>
        </w:tc>
      </w:tr>
      <w:tr>
        <w:trPr>
          <w:cantSplit/>
          <w:cantSplit/>
        </w:trPr>
        <w:tc>
          <w:tcPr>
            <w:tcW w:type="dxa" w:w="2088"/>
            <w:vAlign w:val="center"/>
          </w:tcPr>
          <w:p>
            <w:pPr>
              <w:spacing w:after="0"/>
            </w:pPr>
            <w:r>
              <w:rPr>
                <w:rFonts w:ascii="Aptos" w:hAnsi="Aptos"/>
                <w:sz w:val="17"/>
              </w:rPr>
              <w:t>Axiom</w:t>
            </w:r>
          </w:p>
        </w:tc>
        <w:tc>
          <w:tcPr>
            <w:tcW w:type="dxa" w:w="7992"/>
            <w:vAlign w:val="center"/>
          </w:tcPr>
          <w:p>
            <w:pPr>
              <w:spacing w:after="0"/>
            </w:pPr>
            <w:r>
              <w:rPr>
                <w:rFonts w:ascii="Aptos" w:hAnsi="Aptos"/>
                <w:sz w:val="17"/>
              </w:rPr>
              <w:t>Assumed structural principle of the BFG Strong Form.</w:t>
            </w:r>
          </w:p>
        </w:tc>
      </w:tr>
      <w:tr>
        <w:trPr>
          <w:cantSplit/>
          <w:cantSplit/>
        </w:trPr>
        <w:tc>
          <w:tcPr>
            <w:tcW w:type="dxa" w:w="2088"/>
            <w:vAlign w:val="center"/>
          </w:tcPr>
          <w:p>
            <w:pPr>
              <w:spacing w:after="0"/>
            </w:pPr>
            <w:r>
              <w:rPr>
                <w:rFonts w:ascii="Aptos" w:hAnsi="Aptos"/>
                <w:sz w:val="17"/>
              </w:rPr>
              <w:t>Theorem</w:t>
            </w:r>
          </w:p>
        </w:tc>
        <w:tc>
          <w:tcPr>
            <w:tcW w:type="dxa" w:w="7992"/>
            <w:vAlign w:val="center"/>
          </w:tcPr>
          <w:p>
            <w:pPr>
              <w:spacing w:after="0"/>
            </w:pPr>
            <w:r>
              <w:rPr>
                <w:rFonts w:ascii="Aptos" w:hAnsi="Aptos"/>
                <w:sz w:val="17"/>
              </w:rPr>
              <w:t>Exact consequence under stated mathematical assumptions.</w:t>
            </w:r>
          </w:p>
        </w:tc>
      </w:tr>
      <w:tr>
        <w:trPr>
          <w:cantSplit/>
          <w:cantSplit/>
        </w:trPr>
        <w:tc>
          <w:tcPr>
            <w:tcW w:type="dxa" w:w="2088"/>
            <w:vAlign w:val="center"/>
          </w:tcPr>
          <w:p>
            <w:pPr>
              <w:spacing w:after="0"/>
            </w:pPr>
            <w:r>
              <w:rPr>
                <w:rFonts w:ascii="Aptos" w:hAnsi="Aptos"/>
                <w:sz w:val="17"/>
              </w:rPr>
              <w:t>Conditional theorem</w:t>
            </w:r>
          </w:p>
        </w:tc>
        <w:tc>
          <w:tcPr>
            <w:tcW w:type="dxa" w:w="7992"/>
            <w:vAlign w:val="center"/>
          </w:tcPr>
          <w:p>
            <w:pPr>
              <w:spacing w:after="0"/>
            </w:pPr>
            <w:r>
              <w:rPr>
                <w:rFonts w:ascii="Aptos" w:hAnsi="Aptos"/>
                <w:sz w:val="17"/>
              </w:rPr>
              <w:t>Exact consequence after additional named physical assumptions.</w:t>
            </w:r>
          </w:p>
        </w:tc>
      </w:tr>
      <w:tr>
        <w:trPr>
          <w:cantSplit/>
          <w:cantSplit/>
        </w:trPr>
        <w:tc>
          <w:tcPr>
            <w:tcW w:type="dxa" w:w="2088"/>
            <w:vAlign w:val="center"/>
          </w:tcPr>
          <w:p>
            <w:pPr>
              <w:spacing w:after="0"/>
            </w:pPr>
            <w:r>
              <w:rPr>
                <w:rFonts w:ascii="Aptos" w:hAnsi="Aptos"/>
                <w:sz w:val="17"/>
              </w:rPr>
              <w:t>Physical principle</w:t>
            </w:r>
          </w:p>
        </w:tc>
        <w:tc>
          <w:tcPr>
            <w:tcW w:type="dxa" w:w="7992"/>
            <w:vAlign w:val="center"/>
          </w:tcPr>
          <w:p>
            <w:pPr>
              <w:spacing w:after="0"/>
            </w:pPr>
            <w:r>
              <w:rPr>
                <w:rFonts w:ascii="Aptos" w:hAnsi="Aptos"/>
                <w:sz w:val="17"/>
              </w:rPr>
              <w:t>A universal BFG bridge postulate constrained by no-retuning.</w:t>
            </w:r>
          </w:p>
        </w:tc>
      </w:tr>
      <w:tr>
        <w:trPr>
          <w:cantSplit/>
          <w:cantSplit/>
        </w:trPr>
        <w:tc>
          <w:tcPr>
            <w:tcW w:type="dxa" w:w="2088"/>
            <w:vAlign w:val="center"/>
          </w:tcPr>
          <w:p>
            <w:pPr>
              <w:spacing w:after="0"/>
            </w:pPr>
            <w:r>
              <w:rPr>
                <w:rFonts w:ascii="Aptos" w:hAnsi="Aptos"/>
                <w:sz w:val="17"/>
              </w:rPr>
              <w:t>Model completion</w:t>
            </w:r>
          </w:p>
        </w:tc>
        <w:tc>
          <w:tcPr>
            <w:tcW w:type="dxa" w:w="7992"/>
            <w:vAlign w:val="center"/>
          </w:tcPr>
          <w:p>
            <w:pPr>
              <w:spacing w:after="0"/>
            </w:pPr>
            <w:r>
              <w:rPr>
                <w:rFonts w:ascii="Aptos" w:hAnsi="Aptos"/>
                <w:sz w:val="17"/>
              </w:rPr>
              <w:t>Additional structure not forced by the current upstream formalism.</w:t>
            </w:r>
          </w:p>
        </w:tc>
      </w:tr>
      <w:tr>
        <w:trPr>
          <w:cantSplit/>
          <w:cantSplit/>
        </w:trPr>
        <w:tc>
          <w:tcPr>
            <w:tcW w:type="dxa" w:w="2088"/>
            <w:vAlign w:val="center"/>
          </w:tcPr>
          <w:p>
            <w:pPr>
              <w:spacing w:after="0"/>
            </w:pPr>
            <w:r>
              <w:rPr>
                <w:rFonts w:ascii="Aptos" w:hAnsi="Aptos"/>
                <w:sz w:val="17"/>
              </w:rPr>
              <w:t>Spectral prescription</w:t>
            </w:r>
          </w:p>
        </w:tc>
        <w:tc>
          <w:tcPr>
            <w:tcW w:type="dxa" w:w="7992"/>
            <w:vAlign w:val="center"/>
          </w:tcPr>
          <w:p>
            <w:pPr>
              <w:spacing w:after="0"/>
            </w:pPr>
            <w:r>
              <w:rPr>
                <w:rFonts w:ascii="Aptos" w:hAnsi="Aptos"/>
                <w:sz w:val="17"/>
              </w:rPr>
              <w:t>A fixed readout rule whose numerical value must be computed from the master spectrum.</w:t>
            </w:r>
          </w:p>
        </w:tc>
      </w:tr>
      <w:tr>
        <w:trPr>
          <w:cantSplit/>
          <w:cantSplit/>
        </w:trPr>
        <w:tc>
          <w:tcPr>
            <w:tcW w:type="dxa" w:w="2088"/>
            <w:vAlign w:val="center"/>
          </w:tcPr>
          <w:p>
            <w:pPr>
              <w:spacing w:after="0"/>
            </w:pPr>
            <w:r>
              <w:rPr>
                <w:rFonts w:ascii="Aptos" w:hAnsi="Aptos"/>
                <w:sz w:val="17"/>
              </w:rPr>
              <w:t>Empirical hypothesis</w:t>
            </w:r>
          </w:p>
        </w:tc>
        <w:tc>
          <w:tcPr>
            <w:tcW w:type="dxa" w:w="7992"/>
            <w:vAlign w:val="center"/>
          </w:tcPr>
          <w:p>
            <w:pPr>
              <w:spacing w:after="0"/>
            </w:pPr>
            <w:r>
              <w:rPr>
                <w:rFonts w:ascii="Aptos" w:hAnsi="Aptos"/>
                <w:sz w:val="17"/>
              </w:rPr>
              <w:t>Identification or prediction requiring confrontation with observations.</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Scientific discipline</w:t>
            </w:r>
          </w:p>
          <w:p>
            <w:pPr>
              <w:spacing w:after="0"/>
            </w:pPr>
            <w:r>
              <w:rPr>
                <w:rFonts w:ascii="Aptos" w:hAnsi="Aptos"/>
              </w:rPr>
              <w:t>Version 2 does not strengthen a claim by relabeling it. A theorem remains conditional when its assumptions are not upstream-derived, and a physical bridge principle remains a principle until a deeper derivation is supplied.</w:t>
            </w:r>
          </w:p>
        </w:tc>
      </w:tr>
    </w:tbl>
    <w:p>
      <w:pPr>
        <w:pStyle w:val="Heading1"/>
        <w:keepNext/>
        <w:keepLines/>
      </w:pPr>
      <w:r>
        <w:t>3. Level-0 Trinitarian Structure</w:t>
      </w:r>
    </w:p>
    <w:p>
      <w:pPr/>
      <w:r>
        <w:rPr>
          <w:i w:val="0"/>
        </w:rPr>
        <w:t>Let V₀ be a finite-dimensional real Hilbert space for the Level-0 admissible profile. The primitive trinitarian structure is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𝒯₀ = (𝔇₀, 𝔠₀, ℵ₀)</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w:t>
            </w:r>
          </w:p>
        </w:tc>
      </w:tr>
    </w:tbl>
    <w:p>
      <w:pPr>
        <w:pStyle w:val="ListBullet"/>
        <w:spacing w:after="50"/>
      </w:pPr>
      <w:r>
        <w:t>𝔇₀ — difference capacity.</w:t>
      </w:r>
    </w:p>
    <w:p>
      <w:pPr>
        <w:pStyle w:val="ListBullet"/>
        <w:spacing w:after="50"/>
      </w:pPr>
      <w:r>
        <w:t>𝔠₀ — coherence capacity.</w:t>
      </w:r>
    </w:p>
    <w:p>
      <w:pPr>
        <w:pStyle w:val="ListBullet"/>
        <w:spacing w:after="50"/>
      </w:pPr>
      <w:r>
        <w:t>ℵ₀ — neutral admissibility.</w:t>
      </w:r>
    </w:p>
    <w:p>
      <w:pPr/>
      <w:r>
        <w:rPr>
          <w:i w:val="0"/>
        </w:rPr>
        <w:t>The Level-0 balance operator is real-symmetric:</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K₀ = 𝔠₀ + ℵ₀ − 𝔇₀</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w:t>
            </w:r>
          </w:p>
        </w:tc>
      </w:tr>
    </w:tbl>
    <w:p>
      <w:pPr/>
      <w:r>
        <w:rPr>
          <w:i w:val="0"/>
        </w:rPr>
        <w:t>The admissible formation functional is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𝒜_Adm(δ) = ½⟨δ, K₀δ⟩ + ¼‖δ‖⁴,      δ ∈ V₀</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w:t>
            </w:r>
          </w:p>
        </w:tc>
      </w:tr>
    </w:tbl>
    <w:p>
      <w:pPr/>
      <w:r>
        <w:rPr>
          <w:i w:val="0"/>
        </w:rPr>
        <w:t>A nontrivial isolated formation branch requires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λ₀ = min σ(K₀) &lt; 0,      mult(λ₀)=1</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Δ₀ = λ₁ − λ₀ &gt;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w:t>
            </w:r>
          </w:p>
        </w:tc>
      </w:tr>
    </w:tbl>
    <w:p>
      <w:pPr/>
      <w:r>
        <w:rPr>
          <w:i w:val="0"/>
        </w:rPr>
        <w:t>The real profile space is retained because an unrestricted complex quartic functional would possess U(1) phase degeneracy rather than exactly two polarity-related minima.</w:t>
      </w:r>
    </w:p>
    <w:p>
      <w:pPr>
        <w:pStyle w:val="Heading1"/>
        <w:keepNext/>
        <w:keepLines/>
      </w:pPr>
      <w:r>
        <w:t>4. Rigorous Formation Theorem</w:t>
      </w:r>
    </w:p>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Formation coercivity</w:t>
            </w:r>
          </w:p>
          <w:p>
            <w:pPr>
              <w:spacing w:after="40"/>
            </w:pPr>
            <w:r>
              <w:rPr>
                <w:rFonts w:ascii="Aptos" w:hAnsi="Aptos"/>
                <w:b/>
              </w:rPr>
              <w:t xml:space="preserve">Assumptions. </w:t>
            </w:r>
            <w:r>
              <w:rPr>
                <w:rFonts w:ascii="Aptos" w:hAnsi="Aptos"/>
              </w:rPr>
              <w:t>K₀ is real-symmetric on finite-dimensional V₀.</w:t>
            </w:r>
          </w:p>
          <w:p>
            <w:pPr>
              <w:spacing w:after="40"/>
            </w:pPr>
            <w:r>
              <w:rPr>
                <w:rFonts w:ascii="Aptos" w:hAnsi="Aptos"/>
                <w:b/>
              </w:rPr>
              <w:t xml:space="preserve">Conclusion. </w:t>
            </w:r>
            <w:r>
              <w:rPr>
                <w:rFonts w:ascii="Aptos" w:hAnsi="Aptos"/>
              </w:rPr>
              <w:t>𝒜_Adm(δ) → +∞ as ‖δ‖ → ∞; therefore a global minimum exists.</w:t>
            </w:r>
          </w:p>
          <w:p>
            <w:pPr>
              <w:spacing w:after="40"/>
            </w:pPr>
            <w:r>
              <w:rPr>
                <w:rFonts w:ascii="Aptos" w:hAnsi="Aptos"/>
                <w:b/>
              </w:rPr>
              <w:t xml:space="preserve">Proof sketch. </w:t>
            </w:r>
            <w:r>
              <w:rPr>
                <w:rFonts w:ascii="Aptos" w:hAnsi="Aptos"/>
              </w:rPr>
              <w:t>The quadratic term is bounded below by −(‖K₀‖/2)‖δ‖² while the positive quartic term dominates at large norm.</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Unique formation branch modulo polarity</w:t>
            </w:r>
          </w:p>
          <w:p>
            <w:pPr>
              <w:spacing w:after="40"/>
            </w:pPr>
            <w:r>
              <w:rPr>
                <w:rFonts w:ascii="Aptos" w:hAnsi="Aptos"/>
                <w:b/>
              </w:rPr>
              <w:t xml:space="preserve">Assumptions. </w:t>
            </w:r>
            <w:r>
              <w:rPr>
                <w:rFonts w:ascii="Aptos" w:hAnsi="Aptos"/>
              </w:rPr>
              <w:t>λ₀&lt;0 is simple with normalized eigenvector e₀.</w:t>
            </w:r>
          </w:p>
          <w:p>
            <w:pPr>
              <w:spacing w:after="40"/>
            </w:pPr>
            <w:r>
              <w:rPr>
                <w:rFonts w:ascii="Aptos" w:hAnsi="Aptos"/>
                <w:b/>
              </w:rPr>
              <w:t xml:space="preserve">Conclusion. </w:t>
            </w:r>
            <w:r>
              <w:rPr>
                <w:rFonts w:ascii="Aptos" w:hAnsi="Aptos"/>
              </w:rPr>
              <w:t>The global minima are δ*± = ±√(−λ₀)e₀. Modulo δ∼−δ there is one physical branch.</w:t>
            </w:r>
          </w:p>
          <w:p>
            <w:pPr>
              <w:spacing w:after="40"/>
            </w:pPr>
            <w:r>
              <w:rPr>
                <w:rFonts w:ascii="Aptos" w:hAnsi="Aptos"/>
                <w:b/>
              </w:rPr>
              <w:t xml:space="preserve">Proof sketch. </w:t>
            </w:r>
            <w:r>
              <w:rPr>
                <w:rFonts w:ascii="Aptos" w:hAnsi="Aptos"/>
              </w:rPr>
              <w:t>Rayleigh-Ritz selects e₀; minimizing ½λ₀r²+¼r⁴ gives r²=−λ₀.</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δ*± = ±√(−λ₀) e₀</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y₀ = ‖δ*‖² = −λ₀</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w:t>
            </w:r>
          </w:p>
        </w:tc>
      </w:tr>
    </w:tbl>
    <w:p>
      <w:pPr/>
      <w:r>
        <w:rPr>
          <w:i w:val="0"/>
        </w:rPr>
        <w:t>The Hessian at either minimum has radial eigenvalue −2λ₀&gt;0 and transverse eigenvalues λ_j−λ₀&gt;0. The spectral gap Δ₀ therefore supplies a formation robustness margin.</w:t>
      </w:r>
    </w:p>
    <w:p>
      <w:pPr>
        <w:pStyle w:val="Heading1"/>
        <w:keepNext/>
        <w:keepLines/>
      </w:pPr>
      <w:r>
        <w:t>5. Universal Neutral Closure and Exact Elimination</w:t>
      </w:r>
    </w:p>
    <w:p>
      <w:pPr/>
      <w:r>
        <w:rPr>
          <w:i w:val="0"/>
        </w:rPr>
        <w:t>Let A map a difference channel into a neutral mediation channel. The minimal quadratic neutral completion is retained from the neutral-interface formulation [19].</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𝒜_C(D,ν) = ½‖D − A†ν‖² + ½‖ν‖²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Y = A†A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ν* = (I + AA†)⁻¹ A D</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D_ret = (I + Y)⁻¹ D</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C_N(Y) = (I + Y)⁻¹</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B_N(Y) = Y(I + Y)⁻¹ = I − C_N(Y)</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C_N(Y) + B_N(Y) = I</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(16)</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0 &lt; C_N(Y) ≤ I,      0 ≤ B_N(Y) &lt; I</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(17)</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Exact neutral elimination</w:t>
            </w:r>
          </w:p>
          <w:p>
            <w:pPr>
              <w:spacing w:after="40"/>
            </w:pPr>
            <w:r>
              <w:rPr>
                <w:rFonts w:ascii="Aptos" w:hAnsi="Aptos"/>
                <w:b/>
              </w:rPr>
              <w:t xml:space="preserve">Assumptions. </w:t>
            </w:r>
            <w:r>
              <w:rPr>
                <w:rFonts w:ascii="Aptos" w:hAnsi="Aptos"/>
              </w:rPr>
              <w:t>Y=A†A≥0 and the neutral functional is quadratic as above.</w:t>
            </w:r>
          </w:p>
          <w:p>
            <w:pPr>
              <w:spacing w:after="40"/>
            </w:pPr>
            <w:r>
              <w:rPr>
                <w:rFonts w:ascii="Aptos" w:hAnsi="Aptos"/>
                <w:b/>
              </w:rPr>
              <w:t xml:space="preserve">Conclusion. </w:t>
            </w:r>
            <w:r>
              <w:rPr>
                <w:rFonts w:ascii="Aptos" w:hAnsi="Aptos"/>
              </w:rPr>
              <w:t>At the stationary neutral response, the reduced functional is 𝒜_C^min(D)=½⟨D,C_N(Y)D⟩.</w:t>
            </w:r>
          </w:p>
          <w:p>
            <w:pPr>
              <w:spacing w:after="40"/>
            </w:pPr>
            <w:r>
              <w:rPr>
                <w:rFonts w:ascii="Aptos" w:hAnsi="Aptos"/>
                <w:b/>
              </w:rPr>
              <w:t xml:space="preserve">Proof sketch. </w:t>
            </w:r>
            <w:r>
              <w:rPr>
                <w:rFonts w:ascii="Aptos" w:hAnsi="Aptos"/>
              </w:rPr>
              <w:t>Insert ν* into the two quadratic terms. The mismatch contribution and neutral-response contribution combine to (I+Y)⁻¹.</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𝒜_C^min(D) = ½⟨D, C_N(Y) D⟩</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½‖D‖² = ½⟨D,C_ND⟩ + ½⟨D,B_ND⟩</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(19)</w:t>
            </w:r>
          </w:p>
        </w:tc>
      </w:tr>
    </w:tbl>
    <w:p>
      <w:pPr/>
      <w:r>
        <w:rPr>
          <w:i w:val="0"/>
        </w:rPr>
        <w:t>Equation above is an exact retained/complementary quadratic partition. It is the basis for the V2 sector-budget theorem.</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C_N(Y) − C_N(Z) = C_N(Y)(Z−Y)C_N(Z)</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‖C_N(Y) − C_N(Z)‖ ≤ ‖Y − Z‖,      Y,Z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(21)</w:t>
            </w:r>
          </w:p>
        </w:tc>
      </w:tr>
    </w:tbl>
    <w:p>
      <w:pPr>
        <w:pStyle w:val="Heading1"/>
        <w:keepNext/>
        <w:keepLines/>
      </w:pPr>
      <w:r>
        <w:t>6. Master Closure Geometry, Spectral Sectors, and No-Retuning</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B_C = D_cov 𝔠</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H_C = B_C† W_N B_C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Y_C = L_C† H_C L_C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(24)</w:t>
            </w:r>
          </w:p>
        </w:tc>
      </w:tr>
    </w:tbl>
    <w:p>
      <w:pPr/>
      <w:r>
        <w:rPr>
          <w:i w:val="0"/>
        </w:rPr>
        <w:t>H_C is the positive master closure Hessian and Y_C the positive dimensionless master load. Version 2 requires physical sectors to be determined upstream by spectral structure rather than chosen after inspecting the desired phenomenology.</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𝒮_C = 𝒮_C†</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P_a = 𝟙_{Δ_a}(𝒮_C)</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(26)</w:t>
            </w:r>
          </w:p>
        </w:tc>
      </w:tr>
    </w:tbl>
    <w:p>
      <w:pPr/>
      <w:r>
        <w:rPr>
          <w:i w:val="0"/>
        </w:rPr>
        <w:t>Here the Δ_a are disjoint spectral windows separated by genuine spectral gaps. If no gap exists, the formalism does not license a claim of distinct fundamental sectors.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P_aP_b = δ_ab P_a,      Σ_a P_a = I</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ℬ_a = B_N^(1/2) P_a B_N^(1/2)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ℬ_a ≥ 0,      Σ_a ℬ_a = B_N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(29)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E_a = ½⟨D,ℬ_aD⟩</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Σ_a E_a = ½⟨D,B_ND⟩</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(31)</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Positive sector partition and no double counting</w:t>
            </w:r>
          </w:p>
          <w:p>
            <w:pPr>
              <w:spacing w:after="40"/>
            </w:pPr>
            <w:r>
              <w:rPr>
                <w:rFonts w:ascii="Aptos" w:hAnsi="Aptos"/>
                <w:b/>
              </w:rPr>
              <w:t xml:space="preserve">Assumptions. </w:t>
            </w:r>
            <w:r>
              <w:rPr>
                <w:rFonts w:ascii="Aptos" w:hAnsi="Aptos"/>
              </w:rPr>
              <w:t>The P_a form an orthogonal resolution of the identity.</w:t>
            </w:r>
          </w:p>
          <w:p>
            <w:pPr>
              <w:spacing w:after="40"/>
            </w:pPr>
            <w:r>
              <w:rPr>
                <w:rFonts w:ascii="Aptos" w:hAnsi="Aptos"/>
                <w:b/>
              </w:rPr>
              <w:t xml:space="preserve">Conclusion. </w:t>
            </w:r>
            <w:r>
              <w:rPr>
                <w:rFonts w:ascii="Aptos" w:hAnsi="Aptos"/>
              </w:rPr>
              <w:t>The operators ℬ_a are positive and sum exactly to B_N; sector complementary energies therefore sum to one common complementary budget.</w:t>
            </w:r>
          </w:p>
          <w:p>
            <w:pPr>
              <w:spacing w:after="40"/>
            </w:pPr>
            <w:r>
              <w:rPr>
                <w:rFonts w:ascii="Aptos" w:hAnsi="Aptos"/>
                <w:b/>
              </w:rPr>
              <w:t xml:space="preserve">Proof sketch. </w:t>
            </w:r>
            <w:r>
              <w:rPr>
                <w:rFonts w:ascii="Aptos" w:hAnsi="Aptos"/>
              </w:rPr>
              <w:t>Positivity follows from ℬ_a=(P_aB_N^(1/2))†(P_aB_N^(1/2)); summing uses Σ_aP_a=I. No commutator assumption [P_a,B_N]=0 is required.</w:t>
            </w:r>
          </w:p>
        </w:tc>
      </w:tr>
    </w:tbl>
    <w:tbl>
      <w:tblPr>
        <w:tblW w:type="auto" w:w="0"/>
        <w:jc w:val="center"/>
        <w:tblLook w:firstColumn="1" w:firstRow="1" w:lastColumn="0" w:lastRow="0" w:noHBand="0" w:noVBand="1" w:val="04A0"/>
      </w:tblPr>
      <w:tblGrid>
        <w:gridCol w:w="9878"/>
      </w:tblGrid>
      <w:tr>
        <w:trPr>
          <w:cantSplit/>
          <w:cantSplit/>
        </w:trPr>
        <w:tc>
          <w:tcPr>
            <w:tcW w:type="dxa" w:w="9878"/>
            <w:shd w:fill="E2F0D9"/>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No-retuning principle</w:t>
            </w:r>
          </w:p>
          <w:p>
            <w:pPr>
              <w:spacing w:after="0"/>
            </w:pPr>
            <w:r>
              <w:rPr>
                <w:rFonts w:ascii="Aptos" w:hAnsi="Aptos"/>
              </w:rPr>
              <w:t>Downstream sectors may use spectral projectors, backgrounds, boundary conditions, and representation-specific tensor contractions. They may not introduce independent nonlinear response functions f_grav(Y), f_DM(Y), f_DE(Y), or f_BH(Y).</w:t>
            </w:r>
          </w:p>
        </w:tc>
      </w:tr>
    </w:tbl>
    <w:p>
      <w:pPr>
        <w:pStyle w:val="Heading1"/>
        <w:keepNext/>
        <w:keepLines/>
      </w:pPr>
      <w:r>
        <w:t>7. Recursive Persistence and Candidate Time Direction</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R_C = M U_Ω C_E M†,      M = √N̂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ℋ_phys = E_T ⊕ E_s,      dim E_T = 1</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R_C e_T = e_T</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‖R_C|_{E_s}‖_L ≤ r &lt; 1</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P_T = RieszProj_{λ=1}(D𝔠_phys)</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(36)</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Bounded recursive persistence</w:t>
            </w:r>
          </w:p>
          <w:p>
            <w:pPr>
              <w:spacing w:after="40"/>
            </w:pPr>
            <w:r>
              <w:rPr>
                <w:rFonts w:ascii="Aptos" w:hAnsi="Aptos"/>
                <w:b/>
              </w:rPr>
              <w:t xml:space="preserve">Assumptions. </w:t>
            </w:r>
            <w:r>
              <w:rPr>
                <w:rFonts w:ascii="Aptos" w:hAnsi="Aptos"/>
              </w:rPr>
              <w:t>E_T and E_s are invariant; R_Ce_T=e_T and the stable complement satisfies the Lyapunov norm bound.</w:t>
            </w:r>
          </w:p>
          <w:p>
            <w:pPr>
              <w:spacing w:after="40"/>
            </w:pPr>
            <w:r>
              <w:rPr>
                <w:rFonts w:ascii="Aptos" w:hAnsi="Aptos"/>
                <w:b/>
              </w:rPr>
              <w:t xml:space="preserve">Conclusion. </w:t>
            </w:r>
            <w:r>
              <w:rPr>
                <w:rFonts w:ascii="Aptos" w:hAnsi="Aptos"/>
              </w:rPr>
              <w:t>For s=ae_T+s_s, all iterates are power bounded and the transverse component contracts at least geometrically.</w:t>
            </w:r>
          </w:p>
          <w:p>
            <w:pPr>
              <w:spacing w:after="40"/>
            </w:pPr>
            <w:r>
              <w:rPr>
                <w:rFonts w:ascii="Aptos" w:hAnsi="Aptos"/>
                <w:b/>
              </w:rPr>
              <w:t xml:space="preserve">Proof sketch. </w:t>
            </w:r>
            <w:r>
              <w:rPr>
                <w:rFonts w:ascii="Aptos" w:hAnsi="Aptos"/>
              </w:rPr>
              <w:t>R_C^n s=ae_T+R_s^n s_s and ‖R_s^n s_s‖_L≤r^n‖s_s‖_L.</w:t>
            </w:r>
          </w:p>
        </w:tc>
      </w:tr>
    </w:tbl>
    <w:p>
      <w:pPr/>
      <w:r>
        <w:rPr>
          <w:i w:val="0"/>
        </w:rPr>
        <w:t>The exact mathematical result is one protected persistence direction after quotienting pure internal holonomy. Interpreting that protected direction as physical time remains a BFG structural identification, as in the reviewed edition.</w:t>
      </w:r>
    </w:p>
    <w:p>
      <w:pPr>
        <w:pStyle w:val="Heading1"/>
        <w:keepNext/>
        <w:keepLines/>
      </w:pPr>
      <w:r>
        <w:t>8. Hermitian Soldering and the Conditional Minimal Carrier Theorem</w:t>
      </w:r>
    </w:p>
    <w:p>
      <w:pPr/>
      <w:r>
        <w:rPr>
          <w:i w:val="0"/>
        </w:rPr>
        <w:t>The reviewed edition used C² as the minimal explicit complex carrier. Version 2 narrows that choice under an explicit additional condition rather than silently treating it as a Level-0 theorem.</w:t>
      </w:r>
    </w:p>
    <w:p>
      <w:pPr/>
      <w:r>
        <w:rPr>
          <w:i w:val="0"/>
        </w:rPr>
        <w:t>Let the local complex carrier be V≃Cⁿ. The natural real conjugate observable space is Herm(n,C), with congruence action</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X ↦ G X G†,      G ∈ SL(n,C)</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det(GXG†) = det X</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(38)</w:t>
            </w:r>
          </w:p>
        </w:tc>
      </w:tr>
    </w:tbl>
    <w:p>
      <w:pPr/>
      <w:r>
        <w:rPr>
          <w:i w:val="0"/>
        </w:rPr>
        <w:t>The determinant is homogeneous of degree n. If the local determinant-based causal invariant is required to be quadratic, then n=2.</w:t>
      </w:r>
    </w:p>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Conditional theorem: Minimal complex carrier within determinant-based quadratic causality</w:t>
            </w:r>
          </w:p>
          <w:p>
            <w:pPr>
              <w:spacing w:after="40"/>
            </w:pPr>
            <w:r>
              <w:rPr>
                <w:rFonts w:ascii="Aptos" w:hAnsi="Aptos"/>
                <w:b/>
              </w:rPr>
              <w:t xml:space="preserve">Assumptions. </w:t>
            </w:r>
            <w:r>
              <w:rPr>
                <w:rFonts w:ascii="Aptos" w:hAnsi="Aptos"/>
              </w:rPr>
              <w:t>The physical carrier is complex, admits non-Abelian determinant-one conjugate transport, uses Herm(n,C) as the real observable readout, and its determinant defines the leading local quadratic causal invariant.</w:t>
            </w:r>
          </w:p>
          <w:p>
            <w:pPr>
              <w:spacing w:after="40"/>
            </w:pPr>
            <w:r>
              <w:rPr>
                <w:rFonts w:ascii="Aptos" w:hAnsi="Aptos"/>
                <w:b/>
              </w:rPr>
              <w:t xml:space="preserve">Conclusion. </w:t>
            </w:r>
            <w:r>
              <w:rPr>
                <w:rFonts w:ascii="Aptos" w:hAnsi="Aptos"/>
              </w:rPr>
              <w:t>The minimal nontrivial carrier has n=2.</w:t>
            </w:r>
          </w:p>
          <w:p>
            <w:pPr>
              <w:spacing w:after="40"/>
            </w:pPr>
            <w:r>
              <w:rPr>
                <w:rFonts w:ascii="Aptos" w:hAnsi="Aptos"/>
                <w:b/>
              </w:rPr>
              <w:t xml:space="preserve">Proof sketch. </w:t>
            </w:r>
            <w:r>
              <w:rPr>
                <w:rFonts w:ascii="Aptos" w:hAnsi="Aptos"/>
              </w:rPr>
              <w:t>det X has polynomial degree n. Quadratic determinant causality requires n=2; n=1 is Abelian and does not supply the required nontrivial local transport.</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V_phys ≃ C²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(39)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Herm(2,C) = R I ⊕ Herm₀(2,C) ≃ 1 ⊕ 3</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X = x⁰I + xⁱσᵢ</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det X = (x⁰)² − (x¹)² − (x²)² − (x³)²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(42)</w:t>
            </w:r>
          </w:p>
        </w:tc>
      </w:tr>
    </w:tbl>
    <w:p>
      <w:pPr/>
      <w:r>
        <w:rPr>
          <w:i w:val="0"/>
        </w:rPr>
        <w:t>Under SU(2) rotations, the identity direction is invariant while the traceless Hermitian subspace transforms as a real three-vector. This aligns naturally with one protected scalar direction plus three relational directions [6].</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 = Dℛ_phys : E_geo → Herm(2,C),      rank S = 4</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P_S = I − P_T</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J_L = P_S − P_T = I − 2P_T</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G_L = H_C^(1/2) J_L H_C^(1/2)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(46)</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Stable Lorentz inertia</w:t>
            </w:r>
          </w:p>
          <w:p>
            <w:pPr>
              <w:spacing w:after="40"/>
            </w:pPr>
            <w:r>
              <w:rPr>
                <w:rFonts w:ascii="Aptos" w:hAnsi="Aptos"/>
                <w:b/>
              </w:rPr>
              <w:t xml:space="preserve">Assumptions. </w:t>
            </w:r>
            <w:r>
              <w:rPr>
                <w:rFonts w:ascii="Aptos" w:hAnsi="Aptos"/>
              </w:rPr>
              <w:t>The real geometric sector has dimension four, rank P_T=1, and H_C&gt;0.</w:t>
            </w:r>
          </w:p>
          <w:p>
            <w:pPr>
              <w:spacing w:after="40"/>
            </w:pPr>
            <w:r>
              <w:rPr>
                <w:rFonts w:ascii="Aptos" w:hAnsi="Aptos"/>
                <w:b/>
              </w:rPr>
              <w:t xml:space="preserve">Conclusion. </w:t>
            </w:r>
            <w:r>
              <w:rPr>
                <w:rFonts w:ascii="Aptos" w:hAnsi="Aptos"/>
              </w:rPr>
              <w:t>G_L has Lorentzian inertia (1,3) up to overall sign convention.</w:t>
            </w:r>
          </w:p>
          <w:p>
            <w:pPr>
              <w:spacing w:after="40"/>
            </w:pPr>
            <w:r>
              <w:rPr>
                <w:rFonts w:ascii="Aptos" w:hAnsi="Aptos"/>
                <w:b/>
              </w:rPr>
              <w:t xml:space="preserve">Proof sketch. </w:t>
            </w:r>
            <w:r>
              <w:rPr>
                <w:rFonts w:ascii="Aptos" w:hAnsi="Aptos"/>
              </w:rPr>
              <w:t>G_L is an invertible congruence of J_L; Sylvester's law of inertia preserves the positive/negative index counts [5].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g_μν = η_ab eᵃ_μ eᵇ_ν</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(47)</w:t>
            </w:r>
          </w:p>
        </w:tc>
      </w:tr>
    </w:tbl>
    <w:p>
      <w:pPr>
        <w:pStyle w:val="Heading1"/>
        <w:keepNext/>
        <w:keepLines/>
      </w:pPr>
      <w:r>
        <w:t>9. Local Physical Closure Principle</w:t>
      </w:r>
    </w:p>
    <w:tbl>
      <w:tblPr>
        <w:tblW w:type="auto" w:w="0"/>
        <w:jc w:val="center"/>
        <w:tblLook w:firstColumn="1" w:firstRow="1" w:lastColumn="0" w:lastRow="0" w:noHBand="0" w:noVBand="1" w:val="04A0"/>
      </w:tblPr>
      <w:tblGrid>
        <w:gridCol w:w="9878"/>
      </w:tblGrid>
      <w:tr>
        <w:trPr>
          <w:cantSplit/>
          <w:cantSplit/>
        </w:trPr>
        <w:tc>
          <w:tcPr>
            <w:tcW w:type="dxa" w:w="9878"/>
            <w:shd w:fill="E2F0D9"/>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Physical Principle: Local Physical Closure Principle (LPCP)</w:t>
            </w:r>
          </w:p>
          <w:p>
            <w:pPr>
              <w:spacing w:after="0"/>
            </w:pPr>
            <w:r>
              <w:rPr>
                <w:rFonts w:ascii="Aptos" w:hAnsi="Aptos"/>
              </w:rPr>
              <w:t>When an admissible BFG closure enters a smooth, reversible, locally geometric regime, local physical propagation is the continuum limit of covariantly transported differences between neighboring closure states. No downstream sector may replace that transport by an independent response law.</w:t>
            </w:r>
          </w:p>
        </w:tc>
      </w:tr>
    </w:tbl>
    <w:p>
      <w:pPr/>
      <w:r>
        <w:rPr>
          <w:i w:val="0"/>
        </w:rPr>
        <w:t>Let q(x) be a local closure field and U_C(x+εv,x) the retained local transport operator. Define</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Δ_{ε,v} q(x) = U_C(x,x+εv) q(x+εv) − q(x)</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Δ_{ε,v}q / ε = ∇_v^C q + O(ε)</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(49)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∇_μ^C = ∂_μ + Γ_μ + 𝒜_μ</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(50)</w:t>
            </w:r>
          </w:p>
        </w:tc>
      </w:tr>
    </w:tbl>
    <w:p>
      <w:pPr/>
      <w:r>
        <w:rPr>
          <w:i w:val="0"/>
        </w:rPr>
        <w:t>Γ_μ carries geometric transport; 𝒜_μ denotes any upstream-derived internal local redundancy. Neither is a sector-specific fitting function.</w:t>
      </w:r>
    </w:p>
    <w:p>
      <w:pPr/>
      <w:r>
        <w:rPr>
          <w:i w:val="0"/>
        </w:rPr>
        <w:t>The positive admissibility geometry and the signed Lorentzian propagation geometry are deliberately kept distinct.</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positive neutral load Y_C ≥ 0      ≠      signed causal operator g^{μν}∇_μ∇_ν</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(51)</w:t>
            </w:r>
          </w:p>
        </w:tc>
      </w:tr>
    </w:tbl>
    <w:p>
      <w:pPr/>
      <w:r>
        <w:rPr>
          <w:i w:val="0"/>
        </w:rPr>
        <w:t>This separation prevents an unjustified identification of the positive neutral resolvent with a Lorentzian inverse propagator.</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Z_C = H_C^(1/2) C_N(Y_C[q_*]) H_C^(1/2)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Z_C &gt;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(53)</w:t>
            </w:r>
          </w:p>
        </w:tc>
      </w:tr>
    </w:tbl>
    <w:p>
      <w:pPr/>
      <w:r>
        <w:rPr>
          <w:i w:val="0"/>
        </w:rPr>
        <w:t>Z_C is the local positive closure stiffness at the background q_*. The minimal second-order local physical action is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S_LPC^(2)[q] = 𝒦₀ ∫ d⁴x√−g [ −½ g^{μν}⟨∇_μ^Cq, Z_C∇_ν^Cq⟩ − V_C^(2)(q) ]</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(54)</w:t>
            </w:r>
          </w:p>
        </w:tc>
      </w:tr>
    </w:tbl>
    <w:p>
      <w:pPr/>
      <w:r>
        <w:rPr>
          <w:i w:val="0"/>
        </w:rPr>
        <w:t>The potential part is not independent:</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V_C(q) = ½⟨D_C(q), C_N(Y_C(q)) D_C(q)⟩</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M²_AB = [∂²V_C / (∂qᴬ∂qᴮ)]_{q_*}</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(56)</w:t>
            </w:r>
          </w:p>
        </w:tc>
      </w:tr>
    </w:tbl>
    <w:p>
      <w:pPr/>
      <w:r>
        <w:rPr>
          <w:i w:val="0"/>
        </w:rPr>
        <w:t>LPCP is the principal new physical bridge of Version 2. It is universal in scope but remains explicitly identified as a physical principle rather than a Level-0 theorem.</w:t>
      </w:r>
    </w:p>
    <w:p>
      <w:pPr>
        <w:pStyle w:val="Heading1"/>
        <w:keepNext/>
        <w:keepLines/>
      </w:pPr>
      <w:r>
        <w:t>10. Universal Response Hessian and Common Causal Cone</w:t>
      </w:r>
    </w:p>
    <w:p>
      <w:pPr/>
      <w:r>
        <w:rPr>
          <w:i w:val="0"/>
        </w:rPr>
        <w:t>The neutral resolvent supplies an exact derivative calculus. For C=(I+Y)⁻¹ and any local physical coordinates qᴬ,</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∂_A C = − C Y_,A C</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∂_A∂_B C = C Y_,A C Y_,B C + C Y_,B C Y_,A C − C Y_,AB C</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𝔉[q] = ½⟨D_C(q), C_N(Y_C(q)) D_C(q)⟩</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(59)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Γ_AB^(2) = [δ²𝔉 / (δqᴬδqᴮ)]_{q_*}</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Γ_AB^(2)(k) = M²_AB + Z_AB^{μν} k_μk_ν + O(k⁴)</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(61)</w:t>
            </w:r>
          </w:p>
        </w:tc>
      </w:tr>
    </w:tbl>
    <w:p>
      <w:pPr/>
      <w:r>
        <w:rPr>
          <w:i w:val="0"/>
        </w:rPr>
        <w:t>This is the V2 response engine. Sector coefficients are Hessian or spectral readouts of one reduced closure functional. An independent phenomenological response function inserted downstream would violate the no-retuning rule.</w:t>
      </w:r>
    </w:p>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Conditional theorem: Common massless causal cone in the minimal LPCP branch</w:t>
            </w:r>
          </w:p>
          <w:p>
            <w:pPr>
              <w:spacing w:after="40"/>
            </w:pPr>
            <w:r>
              <w:rPr>
                <w:rFonts w:ascii="Aptos" w:hAnsi="Aptos"/>
                <w:b/>
              </w:rPr>
              <w:t xml:space="preserve">Assumptions. </w:t>
            </w:r>
            <w:r>
              <w:rPr>
                <w:rFonts w:ascii="Aptos" w:hAnsi="Aptos"/>
              </w:rPr>
              <w:t>There is one nondegenerate soldering metric g_μν, the internal closure stiffness is positive, the local theory is second order and parity even, and no additional preferred spacetime tensor is introduced.</w:t>
            </w:r>
          </w:p>
          <w:p>
            <w:pPr>
              <w:spacing w:after="40"/>
            </w:pPr>
            <w:r>
              <w:rPr>
                <w:rFonts w:ascii="Aptos" w:hAnsi="Aptos"/>
                <w:b/>
              </w:rPr>
              <w:t xml:space="preserve">Conclusion. </w:t>
            </w:r>
            <w:r>
              <w:rPr>
                <w:rFonts w:ascii="Aptos" w:hAnsi="Aptos"/>
              </w:rPr>
              <w:t>For every nondegenerate fundamental massless irreducible block, the principal symbol is proportional to g^{μν}k_μk_ν times its representation projector; all such blocks share one characteristic null cone.</w:t>
            </w:r>
          </w:p>
          <w:p>
            <w:pPr>
              <w:spacing w:after="40"/>
            </w:pPr>
            <w:r>
              <w:rPr>
                <w:rFonts w:ascii="Aptos" w:hAnsi="Aptos"/>
                <w:b/>
              </w:rPr>
              <w:t xml:space="preserve">Proof sketch. </w:t>
            </w:r>
            <w:r>
              <w:rPr>
                <w:rFonts w:ascii="Aptos" w:hAnsi="Aptos"/>
              </w:rPr>
              <w:t>Without an additional spacetime tensor, the only available rank-two principal contraction is the inverse soldering metric. Positive internal stiffness changes normalization but not the zero set of the spacetime quadratic form.</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σ₂(Γ_a)(x,k) = Z_a g^{μν}k_μk_ν P_a</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g^{μν}k_μk_ν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c_grav = c_EM = c_other massless = c_*      [minimal single-metric branch]</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(64)</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Failure condition</w:t>
            </w:r>
          </w:p>
          <w:p>
            <w:pPr>
              <w:spacing w:after="0"/>
            </w:pPr>
            <w:r>
              <w:rPr>
                <w:rFonts w:ascii="Aptos" w:hAnsi="Aptos"/>
              </w:rPr>
              <w:t>If a fundamental sector requires a distinct characteristic cone, Version 2 demands an additional upstream-derived tensorial carrier. Inserting an independent cone coefficient by hand counts as failure of the minimal strong universality branch.</w:t>
            </w:r>
          </w:p>
        </w:tc>
      </w:tr>
    </w:tbl>
    <w:p>
      <w:pPr>
        <w:pStyle w:val="Heading1"/>
        <w:keepNext/>
        <w:keepLines/>
      </w:pPr>
      <w:r>
        <w:t>11. Local Lorentz Transport, Torsion, and Curvature</w:t>
      </w:r>
    </w:p>
    <w:p>
      <w:pPr/>
      <w:r>
        <w:rPr>
          <w:i w:val="0"/>
        </w:rPr>
        <w:t>Curvature remains tied to path-dependent local retained transport, not to a single globally pure-gauge endpoint map.</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U_geo(x+dx,x) = I − Γ_μ(x) dx^μ + O(dx²)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tr Γ_μ = 0,      Γ_μ ∈ sl(2,C)</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(66)</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G(x+dx,x) = [det R_ret(x+dx,x)]^(−1/2) R_ret(x+dx,x)</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X(x+dx) = G(x+dx,x) X(x) G(x+dx,x)†</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F_μν = ∂_μΓ_ν − ∂_νΓ_μ + [Γ_μ,Γ_ν]</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(69)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Tᵃ = deᵃ + ωᵃ_b ∧ eᵇ</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Rᵃ_b = dωᵃ_b + ωᵃ_c ∧ ωᶜ_b</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(71)</w:t>
            </w:r>
          </w:p>
        </w:tc>
      </w:tr>
    </w:tbl>
    <w:p>
      <w:pPr/>
      <w:r>
        <w:rPr>
          <w:i w:val="0"/>
        </w:rPr>
        <w:t>Metric compatibility and effective torsion suppression are branch conditions to be checked in the geometric sector; they are not implied by positivity of H_C alone.</w:t>
      </w:r>
    </w:p>
    <w:p>
      <w:pPr>
        <w:pStyle w:val="Heading1"/>
        <w:keepNext/>
        <w:keepLines/>
      </w:pPr>
      <w:r>
        <w:t>12. Gravity: Massless Spin-2 and the Einstein Infrared Branch</w:t>
      </w:r>
    </w:p>
    <w:p>
      <w:pPr/>
      <w:r>
        <w:rPr>
          <w:i w:val="0"/>
        </w:rPr>
        <w:t>Let the canonical geometric block carry a symmetric metric perturbation h_μν around a smooth background. Local relabeling invariance produces the linearized gauge redundancy</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g_μν = ḡ_μν + κ h_μν</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δh_μν = ∇_μξ_ν + ∇_νξ_μ</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(73)</w:t>
            </w:r>
          </w:p>
        </w:tc>
      </w:tr>
    </w:tbl>
    <w:p>
      <w:pPr/>
      <w:r>
        <w:rPr>
          <w:i w:val="0"/>
        </w:rPr>
        <w:t>Within a local Lorentz-covariant two-derivative branch, this gauge structure selects the massless Fierz-Pauli kinetic form up to normalization and boundary terms [23]. The standard consistency/bootstrap literature then relates self-consistent massless spin-2 coupling to the Einstein nonlinear branch under the usual assumptions [24,25].</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S_g^(2) = (Z_T/2) ∫ d⁴x 𝓛_FP[h]</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Γ_TT^(2)(ω,k) = Z_T(−ω²/c_*² + |k|²) P_TT + O(k⁴)</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Z_T &gt;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(76)</w:t>
            </w:r>
          </w:p>
        </w:tc>
      </w:tr>
    </w:tbl>
    <w:p>
      <w:pPr/>
      <w:r>
        <w:rPr>
          <w:i w:val="0"/>
        </w:rPr>
        <w:t>The V2 normalization defines the effective gravitational coupling by the TT closure stiffness rather than an arbitrary inserted numerical factor.</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κ_BFG = Z_T⁻¹</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G_BFG = c_*⁴ / (8π Z_T)      [Einstein normalization convention]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S_IR = [c_*⁴/(16πG_BFG)] ∫ d⁴x√−g (R − 2Λ_BFG) + O(ℓ_C²R²)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(79)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G_μν + Λ_BFG g_μν = (8πG_BFG/c_*⁴) T_μν + …</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(80)</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Conditional theorem: Einstein infrared branch</w:t>
            </w:r>
          </w:p>
          <w:p>
            <w:pPr>
              <w:spacing w:after="40"/>
            </w:pPr>
            <w:r>
              <w:rPr>
                <w:rFonts w:ascii="Aptos" w:hAnsi="Aptos"/>
                <w:b/>
              </w:rPr>
              <w:t xml:space="preserve">Assumptions. </w:t>
            </w:r>
            <w:r>
              <w:rPr>
                <w:rFonts w:ascii="Aptos" w:hAnsi="Aptos"/>
              </w:rPr>
              <w:t>LPCP yields one healthy massless geometric spin-2 mode; the effective theory is local, single-metric, diffeomorphism covariant, and two-derivative at leading order.</w:t>
            </w:r>
          </w:p>
          <w:p>
            <w:pPr>
              <w:spacing w:after="40"/>
            </w:pPr>
            <w:r>
              <w:rPr>
                <w:rFonts w:ascii="Aptos" w:hAnsi="Aptos"/>
                <w:b/>
              </w:rPr>
              <w:t xml:space="preserve">Conclusion. </w:t>
            </w:r>
            <w:r>
              <w:rPr>
                <w:rFonts w:ascii="Aptos" w:hAnsi="Aptos"/>
              </w:rPr>
              <w:t>The leading nonlinear infrared geometric action belongs to the Einstein branch, with higher-curvature terms suppressed by the closure scale.</w:t>
            </w:r>
          </w:p>
          <w:p>
            <w:pPr>
              <w:spacing w:after="40"/>
            </w:pPr>
            <w:r>
              <w:rPr>
                <w:rFonts w:ascii="Aptos" w:hAnsi="Aptos"/>
                <w:b/>
              </w:rPr>
              <w:t xml:space="preserve">Proof sketch. </w:t>
            </w:r>
            <w:r>
              <w:rPr>
                <w:rFonts w:ascii="Aptos" w:hAnsi="Aptos"/>
              </w:rPr>
              <w:t>The free quadratic block is Fierz-Pauli [23]. Consistency of local self-coupling and universal soft spin-2 coupling constrains the nonlinear completion toward Einstein gravity [24,25], while Lovelock/EFT results delimit the low-derivative local branch [7,8].</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Remaining gravity calculation</w:t>
            </w:r>
          </w:p>
          <w:p>
            <w:pPr>
              <w:spacing w:after="0"/>
            </w:pPr>
            <w:r>
              <w:rPr>
                <w:rFonts w:ascii="Aptos" w:hAnsi="Aptos"/>
              </w:rPr>
              <w:t>Version 2 fixes the route and normalization readout, but the actual master spectrum must still be evaluated to show that the geometric LPC Hessian contains exactly one healthy gapless symmetric spin-2 block and to compute Z_T numerically.</w:t>
            </w:r>
          </w:p>
        </w:tc>
      </w:tr>
    </w:tbl>
    <w:p>
      <w:pPr>
        <w:pStyle w:val="Heading1"/>
        <w:keepNext/>
        <w:keepLines/>
      </w:pPr>
      <w:r>
        <w:t>13. Q_Ω: Conserved Recursive-Current Branch</w:t>
      </w:r>
    </w:p>
    <w:p>
      <w:pPr/>
      <w:r>
        <w:rPr>
          <w:i w:val="0"/>
        </w:rPr>
        <w:t>The reviewed edition treated Q_Ω=(J^μ,Ω) as a minimal dark-matter-like current/holonomy completion. Version 2 closes the homogeneous dust branch covariantly by using a constrained current action, while keeping the mapping from the upstream spectral block explicit.</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Q_Ω = (J^μ, Ω)</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n = √(−J^μJ_μ),      u^μ = J^μ/n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S_Ω = ∫ d⁴x√−g [ J^μ∇_μΩ − m_C n ]</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δS_Ω/δΩ = 0      ⇒      ∇_μJ^μ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δS_Ω/δJ^μ = 0      ⇒      ∇_μΩ = −m_C u_μ</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T_μν^(Ω) = ρ_Ω u_μu_ν,      ρ_Ω = m_C 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(86)</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p_Ω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(87)</w:t>
            </w:r>
          </w:p>
        </w:tc>
      </w:tr>
    </w:tbl>
    <w:p>
      <w:pPr/>
      <w:r>
        <w:rPr>
          <w:i w:val="0"/>
        </w:rPr>
        <w:t>In an FRW background, current conservation gives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ṅ + 3Hn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ρ_Ω(a) = ρ_Ω0 a⁻³</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(89)</w:t>
            </w:r>
          </w:p>
        </w:tc>
      </w:tr>
    </w:tbl>
    <w:p>
      <w:pPr/>
      <w:r>
        <w:rPr>
          <w:i w:val="0"/>
        </w:rPr>
        <w:t>This is an exact dust branch of the effective current action. General vortical and multistreaming halo dynamics requires additional comoving labels or a higher-rank holonomy/current representation; relativistic dust formulations with such labels provide a comparison framework [26].</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U_μ = ∇_μT + W_i∇_μZⁱ      [general dust-comoving target structure]</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(90)</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Scope boundary</w:t>
            </w:r>
          </w:p>
          <w:p>
            <w:pPr>
              <w:spacing w:after="0"/>
            </w:pPr>
            <w:r>
              <w:rPr>
                <w:rFonts w:ascii="Aptos" w:hAnsi="Aptos"/>
              </w:rPr>
              <w:t>The homogeneous and irrotational Q_Ω dust branch is closed at the effective-action level. A full nonlinear halo phase-space realization is not inferred from a single scalar Ω and remains a representation-level calculation.</w:t>
            </w:r>
          </w:p>
        </w:tc>
      </w:tr>
    </w:tbl>
    <w:p>
      <w:pPr>
        <w:pStyle w:val="Heading1"/>
        <w:keepNext/>
        <w:keepLines/>
      </w:pPr>
      <w:r>
        <w:t>14. Galactic Relational Response and No-Double-Counting</w:t>
      </w:r>
    </w:p>
    <w:p>
      <w:pPr/>
      <w:r>
        <w:rPr>
          <w:i w:val="0"/>
        </w:rPr>
        <w:t>The low-acceleration relational branch remains controlled by the same universal complementary response:</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X = |∇Ψ|² / a_Q²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μ(X) = √B_N(X) = √[X/(1+X)]</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(92)</w:t>
            </w:r>
          </w:p>
        </w:tc>
      </w:tr>
    </w:tbl>
    <w:p>
      <w:pPr/>
      <w:r>
        <w:rPr>
          <w:i w:val="0"/>
        </w:rPr>
        <w:t>Because X is a quadratic load and B_N is the complementary quadratic response fraction, the positive linear response amplitude is μ=√B_N. Its unique primitive satisfying 𝓕_N(0)=0 is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𝓕_N(X) = √[X(1+X)] − asinh√X</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𝓕_N′(X) = μ(X)</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S_QS = −[a_Q²/(8πG_BFG)] ∫ d³x 𝓕_N(X) − ∫ d³x ρ Ψ</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 μ(X)∇Ψ ] = 4πG_BFG ρ</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(96)</w:t>
            </w:r>
          </w:p>
        </w:tc>
      </w:tr>
    </w:tbl>
    <w:p>
      <w:pPr/>
      <w:r>
        <w:rPr>
          <w:i w:val="0"/>
        </w:rPr>
        <w:t>For X≫1, μ→1 and the Newtonian/GR quasistatic limit is recovered. For X≪1,</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μ(X) = √X + O(X^(3/2))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𝓕_N(X) = (2/3)X^(3/2) − (1/5)X^(5/2) + O(X^(7/2))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g(r) = √(G_BFG M a_Q)/r      [spherical deep branch]</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(99)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v_f⁴ = G_BFG M a_Q</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(100)</w:t>
            </w:r>
          </w:p>
        </w:tc>
      </w:tr>
    </w:tbl>
    <w:p>
      <w:pPr/>
      <w:r>
        <w:rPr>
          <w:i w:val="0"/>
        </w:rPr>
        <w:t>The variational structure is comparable in mathematical role to AQUAL-type modified-Poisson theories [27], while the specific μ(X) form here is fixed by the BFG neutral transform rather than selected independently.</w:t>
      </w:r>
    </w:p>
    <w:p>
      <w:pPr>
        <w:pStyle w:val="Heading2"/>
        <w:keepNext/>
        <w:keepLines/>
      </w:pPr>
      <w:r>
        <w:t>14.1 Exact spherical interpolation</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q(r) := G_BFG M(r)/(a_Q r²)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g/a_Q = √{ [q² + q√(q²+4)] / 2 }</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(102)</w:t>
            </w:r>
          </w:p>
        </w:tc>
      </w:tr>
    </w:tbl>
    <w:p>
      <w:pPr/>
      <w:r>
        <w:rPr>
          <w:i w:val="0"/>
        </w:rPr>
        <w:t>This relation interpolates continuously between g≈g_N at large q and g≈√(a_Qg_N) at small q.</w:t>
      </w:r>
    </w:p>
    <w:p>
      <w:pPr>
        <w:pStyle w:val="Heading2"/>
        <w:keepNext/>
        <w:keepLines/>
      </w:pPr>
      <w:r>
        <w:t>14.2 Local Q_Ω mass and relational enhancement</w:t>
      </w:r>
    </w:p>
    <w:p>
      <w:pPr/>
      <w:r>
        <w:rPr>
          <w:i w:val="0"/>
        </w:rPr>
        <w:t>If local Q_Ω mass contributes in the same system, the source is total rather than baryonic-only:</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 μ(X)∇Ψ ] = 4πG_BFG (ρ_b + ρ_Ω)</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v_f⁴ = G_BFG a_Q (M_b + M_Ω)      [deep spherical branch]</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(104)</w:t>
            </w:r>
          </w:p>
        </w:tc>
      </w:tr>
    </w:tbl>
    <w:p>
      <w:pPr/>
      <w:r>
        <w:rPr>
          <w:i w:val="0"/>
        </w:rPr>
        <w:t>Therefore Q_Ω halo mass and relational enhancement cannot be independently fitted. The positive sector budget of Section 6 imposes the structural constraint, while the observed tight baryonic Tully-Fisher relation supplies a direct empirical stress test [14,30].</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scatter{ log[1 + M_Ω/M_b] } ≤ observational BTFR budget      [test criterion]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(105)</w:t>
            </w:r>
          </w:p>
        </w:tc>
      </w:tr>
    </w:tbl>
    <w:p>
      <w:pPr/>
      <w:r>
        <w:rPr>
          <w:i w:val="0"/>
        </w:rPr>
        <w:t>The inequality is an empirical pass condition, not an identity. Failure would falsify the simultaneous full-strength Q_Ω + relational branch.</w:t>
      </w:r>
    </w:p>
    <w:p>
      <w:pPr>
        <w:pStyle w:val="Heading1"/>
        <w:keepNext/>
        <w:keepLines/>
      </w:pPr>
      <w:r>
        <w:t>15. Lensing, Linear Cosmology, and Observational Readouts</w:t>
      </w:r>
    </w:p>
    <w:p>
      <w:pPr/>
      <w:r>
        <w:rPr>
          <w:i w:val="0"/>
        </w:rPr>
        <w:t>Version 2 removes the former minimal assumption Φ=Ψ. Matter dynamics and light propagation must be derived from the same covariant metric solution, as required in any relativistic completion of low-acceleration phenomenology [28,29].</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ds² = −(1+2Ψ/c_*²)c_*²dt² + (1−2Φ/c_*²)d𝐱²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(106)</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𝐚_NR = −∇Ψ</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Φ_W = (Φ + Ψ)/2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α⃗ = (2/c_*²) ∫ ∇_⊥ Φ_W dℓ</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(109)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η(k,a) = Φ/Ψ</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(110)</w:t>
            </w:r>
          </w:p>
        </w:tc>
      </w:tr>
    </w:tbl>
    <w:p>
      <w:pPr/>
      <w:r>
        <w:rPr>
          <w:i w:val="0"/>
        </w:rPr>
        <w:t>At linear cosmological order it is useful to report the theory through calculated response functions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−k²Ψ = 4πG_BFG a² μ_cos(k,a) ρΔ</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Σ(k,a) = [μ_cos(k,a)/2][1+η(k,a)]</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(112)</w:t>
            </w:r>
          </w:p>
        </w:tc>
      </w:tr>
    </w:tbl>
    <w:p>
      <w:pPr/>
      <w:r>
        <w:rPr>
          <w:i w:val="0"/>
        </w:rPr>
        <w:t>In V2, μ_cos, η, and Σ are not free fitting functions. They must be computed from the same LPC response Hessian Γ^(2). CMB temperature/polarization spectra, CMB lensing, matter power, BAO, and growth therefore require a numerical perturbation implementation after the concrete master spectrum is specified. Planck and DESI remain benchmark datasets [10–12,15].</w:t>
      </w:r>
    </w:p>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No analytic shortcut</w:t>
            </w:r>
          </w:p>
          <w:p>
            <w:pPr>
              <w:spacing w:after="0"/>
            </w:pPr>
            <w:r>
              <w:rPr>
                <w:rFonts w:ascii="Aptos" w:hAnsi="Aptos"/>
              </w:rPr>
              <w:t>A structural closure theory does not acquire CMB or LSS predictions merely by naming a dark sector. The actual linearized field equations must be inserted into a Boltzmann solver. Version 2 treats that as a required calculation, not as a solved result.</w:t>
            </w:r>
          </w:p>
        </w:tc>
      </w:tr>
    </w:tbl>
    <w:p>
      <w:pPr>
        <w:pStyle w:val="Heading1"/>
        <w:keepNext/>
        <w:keepLines/>
      </w:pPr>
      <w:r>
        <w:t>16. Q_⊥: Terminal Residual and Equation of State</w:t>
      </w:r>
    </w:p>
    <w:p>
      <w:pPr/>
      <w:r>
        <w:rPr>
          <w:i w:val="0"/>
        </w:rPr>
        <w:t>The recursive generation sequence retains an admissibility gate. Version 2 ties a concrete gate realization directly to the next-level formation eigenvalue when the same formation operator is defined recursively.</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g_n = 𝟙_{ {λ_min(K_{n+1}) &lt; 0} }      [spectral gate realization]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N_* = min{ n : λ_min(K_{n+1}) ≥ 0 }</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(114)</w:t>
            </w:r>
          </w:p>
        </w:tc>
      </w:tr>
    </w:tbl>
    <w:p>
      <w:pPr/>
      <w:r>
        <w:rPr>
          <w:i w:val="0"/>
        </w:rPr>
        <w:t>The terminal complementary energy is taken from the common positive sector budget:</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E_⊥(a) = ½ E₀ ⟨D(a), ℬ_⊥(a) D(a)⟩</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ρ_⊥(a) = E_⊥(a)/V(a)</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(116)</w:t>
            </w:r>
          </w:p>
        </w:tc>
      </w:tr>
    </w:tbl>
    <w:p>
      <w:pPr/>
      <w:r>
        <w:rPr>
          <w:i w:val="0"/>
        </w:rPr>
        <w:t>Thermodynamic stress-energy conservation gives the general equation-of-state readout</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p_⊥ = − dE_⊥/dV</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(117)</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w_⊥ = p_⊥/ρ_⊥ = − d ln E_⊥ / d ln V</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w_⊥(a) = −1 − (1/3) d ln ρ_⊥ / d ln a</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(119)</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Terminality does not imply vacuum equation of state</w:t>
            </w:r>
          </w:p>
          <w:p>
            <w:pPr>
              <w:spacing w:after="40"/>
            </w:pPr>
            <w:r>
              <w:rPr>
                <w:rFonts w:ascii="Aptos" w:hAnsi="Aptos"/>
                <w:b/>
              </w:rPr>
              <w:t xml:space="preserve">Assumptions. </w:t>
            </w:r>
            <w:r>
              <w:rPr>
                <w:rFonts w:ascii="Aptos" w:hAnsi="Aptos"/>
              </w:rPr>
              <w:t>The recursive gate closes at N_* but no assumption is made about how E_⊥ scales with physical volume.</w:t>
            </w:r>
          </w:p>
          <w:p>
            <w:pPr>
              <w:spacing w:after="40"/>
            </w:pPr>
            <w:r>
              <w:rPr>
                <w:rFonts w:ascii="Aptos" w:hAnsi="Aptos"/>
                <w:b/>
              </w:rPr>
              <w:t xml:space="preserve">Conclusion. </w:t>
            </w:r>
            <w:r>
              <w:rPr>
                <w:rFonts w:ascii="Aptos" w:hAnsi="Aptos"/>
              </w:rPr>
              <w:t>g_{N_*}=0 does not imply w_⊥=−1.</w:t>
            </w:r>
          </w:p>
          <w:p>
            <w:pPr>
              <w:spacing w:after="40"/>
            </w:pPr>
            <w:r>
              <w:rPr>
                <w:rFonts w:ascii="Aptos" w:hAnsi="Aptos"/>
                <w:b/>
              </w:rPr>
              <w:t xml:space="preserve">Proof sketch. </w:t>
            </w:r>
            <w:r>
              <w:rPr>
                <w:rFonts w:ascii="Aptos" w:hAnsi="Aptos"/>
              </w:rPr>
              <w:t>The equation of state is fixed by −d ln E_⊥/d ln V. Different volume scalings yield different w.</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Conditional theorem: Vacuum terminal branch</w:t>
            </w:r>
          </w:p>
          <w:p>
            <w:pPr>
              <w:spacing w:after="40"/>
            </w:pPr>
            <w:r>
              <w:rPr>
                <w:rFonts w:ascii="Aptos" w:hAnsi="Aptos"/>
                <w:b/>
              </w:rPr>
              <w:t xml:space="preserve">Assumptions. </w:t>
            </w:r>
            <w:r>
              <w:rPr>
                <w:rFonts w:ascii="Aptos" w:hAnsi="Aptos"/>
              </w:rPr>
              <w:t>The terminal block has positive residual energy, no local propagating degrees of freedom, no remaining local field-dependent scalar structure, and the effective action is diffeomorphism invariant.</w:t>
            </w:r>
          </w:p>
          <w:p>
            <w:pPr>
              <w:spacing w:after="40"/>
            </w:pPr>
            <w:r>
              <w:rPr>
                <w:rFonts w:ascii="Aptos" w:hAnsi="Aptos"/>
                <w:b/>
              </w:rPr>
              <w:t xml:space="preserve">Conclusion. </w:t>
            </w:r>
            <w:r>
              <w:rPr>
                <w:rFonts w:ascii="Aptos" w:hAnsi="Aptos"/>
              </w:rPr>
              <w:t>Its lowest local term is S_⊥=−ρ_*∫√−g d⁴x, hence T_μν^(⊥)=−ρ_*g_μν and w_⊥=−1.</w:t>
            </w:r>
          </w:p>
          <w:p>
            <w:pPr>
              <w:spacing w:after="40"/>
            </w:pPr>
            <w:r>
              <w:rPr>
                <w:rFonts w:ascii="Aptos" w:hAnsi="Aptos"/>
                <w:b/>
              </w:rPr>
              <w:t xml:space="preserve">Proof sketch. </w:t>
            </w:r>
            <w:r>
              <w:rPr>
                <w:rFonts w:ascii="Aptos" w:hAnsi="Aptos"/>
              </w:rPr>
              <w:t>With no dynamical terminal field left, the only local zeroth-derivative diffeomorphism scalar density is a constant times √−g.</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S_⊥ = −ρ_* ∫ d⁴x√−g</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T_μν^(⊥) = −ρ_* g_μν      ⇒      w_⊥ = −1</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(121)</w:t>
            </w:r>
          </w:p>
        </w:tc>
      </w:tr>
    </w:tbl>
    <w:p>
      <w:pPr/>
      <w:r>
        <w:rPr>
          <w:i w:val="0"/>
        </w:rPr>
        <w:t>If the terminal block remains dynamical, equation-of-state evolution must be calculated from the same closure state rather than fixed to −1.</w:t>
      </w:r>
    </w:p>
    <w:p>
      <w:pPr>
        <w:pStyle w:val="Heading1"/>
        <w:keepNext/>
        <w:keepLines/>
      </w:pPr>
      <w:r>
        <w:t>17. Strong-Field Saturation and Local Regularity</w:t>
      </w:r>
    </w:p>
    <w:p>
      <w:pPr/>
      <w:r>
        <w:rPr>
          <w:i w:val="0"/>
        </w:rPr>
        <w:t>The universal high-load behavior remains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C_N(Y_SF) = 1/(1+Y_SF) → 0      as Y_SF→∞</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B_N(Y_SF) = Y_SF/(1+Y_SF) → 1</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(123)</w:t>
            </w:r>
          </w:p>
        </w:tc>
      </w:tr>
    </w:tbl>
    <w:p>
      <w:pPr/>
      <w:r>
        <w:rPr>
          <w:i w:val="0"/>
        </w:rPr>
        <w:t>For an effective strong-field density built from the same complementary response,</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𝓛_SF = −ε_c B_N(Y_SF)</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B_N′(Y) = 1/(1+Y)²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T_μν^(SF) = −ε_c B_N g_μν + 2ε_c B_N′ ∂Y_SF/∂g^{μν}</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(126)</w:t>
            </w:r>
          </w:p>
        </w:tc>
      </w:tr>
    </w:tbl>
    <w:p>
      <w:pPr/>
      <w:r>
        <w:rPr>
          <w:i w:val="0"/>
        </w:rPr>
        <w:t>If the metric sensitivity grows more slowly than Y_SF², the derivative term vanishes in the saturation limit:</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‖∂Y_SF/∂g^{μν}‖ = o(Y_SF²)      ⇒      T_μν^(SF) → −ε_c g_μν</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(127)</w:t>
            </w:r>
          </w:p>
        </w:tc>
      </w:tr>
    </w:tbl>
    <w:p>
      <w:pPr>
        <w:pStyle w:val="Heading2"/>
        <w:keepNext/>
        <w:keepLines/>
      </w:pPr>
      <w:r>
        <w:t>17.1 Local spherical regular-core theorem</w:t>
      </w:r>
    </w:p>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Local spherical regular core</w:t>
            </w:r>
          </w:p>
          <w:p>
            <w:pPr>
              <w:spacing w:after="40"/>
            </w:pPr>
            <w:r>
              <w:rPr>
                <w:rFonts w:ascii="Aptos" w:hAnsi="Aptos"/>
                <w:b/>
              </w:rPr>
              <w:t xml:space="preserve">Assumptions. </w:t>
            </w:r>
            <w:r>
              <w:rPr>
                <w:rFonts w:ascii="Aptos" w:hAnsi="Aptos"/>
              </w:rPr>
              <w:t>The fully varied strong-field branch approaches a finite isotropic central energy density ρ_c and the static spherical solution is smooth.</w:t>
            </w:r>
          </w:p>
          <w:p>
            <w:pPr>
              <w:spacing w:after="40"/>
            </w:pPr>
            <w:r>
              <w:rPr>
                <w:rFonts w:ascii="Aptos" w:hAnsi="Aptos"/>
                <w:b/>
              </w:rPr>
              <w:t xml:space="preserve">Conclusion. </w:t>
            </w:r>
            <w:r>
              <w:rPr>
                <w:rFonts w:ascii="Aptos" w:hAnsi="Aptos"/>
              </w:rPr>
              <w:t>m(r)=4πρ_c r³/3+O(r⁵), f(r)=1−[8πG_BFGρ_c/(3c_*²)]r²+O(r⁴), and the central curvature invariants are finite.</w:t>
            </w:r>
          </w:p>
          <w:p>
            <w:pPr>
              <w:spacing w:after="40"/>
            </w:pPr>
            <w:r>
              <w:rPr>
                <w:rFonts w:ascii="Aptos" w:hAnsi="Aptos"/>
                <w:b/>
              </w:rPr>
              <w:t xml:space="preserve">Proof sketch. </w:t>
            </w:r>
            <w:r>
              <w:rPr>
                <w:rFonts w:ascii="Aptos" w:hAnsi="Aptos"/>
              </w:rPr>
              <w:t>Integrating a finite central density gives m∝r³. Substitution into the spherical metric function yields a de-Sitter-type r² core and finite curvature.</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m(r) = 4π ∫₀ʳ ρ(s)s² ds = (4π/3)ρ_c r³ + O(r⁵)</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f(r) = 1 − [8πG_BFGρ_c/(3c_*²)] r² + O(r⁴)</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(129)</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α := 8πG_BFGρ_c/(3c_*²)</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K(0) = 24 α² &lt; ∞      [spherical de-Sitter-type core]</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(131)</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0" w:type="dxa"/>
              <w:start w:w="110" w:type="dxa"/>
              <w:bottom w:w="90" w:type="dxa"/>
              <w:end w:w="110" w:type="dxa"/>
            </w:tcMar>
            <w:vAlign w:val="center"/>
          </w:tcPr>
          <w:p>
            <w:pPr>
              <w:spacing w:after="40"/>
            </w:pPr>
            <w:r>
              <w:rPr>
                <w:rFonts w:ascii="Aptos" w:hAnsi="Aptos"/>
                <w:b/>
                <w:color w:val="1F4E79"/>
                <w:sz w:val="20"/>
              </w:rPr>
              <w:t>Strong-field boundary</w:t>
            </w:r>
          </w:p>
          <w:p>
            <w:pPr>
              <w:spacing w:after="0"/>
            </w:pPr>
            <w:r>
              <w:rPr>
                <w:rFonts w:ascii="Aptos" w:hAnsi="Aptos"/>
              </w:rPr>
              <w:t>Local saturation and a regular spherical center do not prove global black-hole regularity. Rotating solutions, Cauchy horizons, mass inflation, global geodesic completeness, and semiclassical stress-energy remain separate nonlinear tests [16–18].</w:t>
            </w:r>
          </w:p>
        </w:tc>
      </w:tr>
    </w:tbl>
    <w:p>
      <w:pPr>
        <w:pStyle w:val="Heading1"/>
        <w:keepNext/>
        <w:keepLines/>
      </w:pPr>
      <w:r>
        <w:t>18. Recursive Hierarchy and Spectral Termination</w:t>
      </w:r>
    </w:p>
    <w:p>
      <w:pPr/>
      <w:r>
        <w:rPr>
          <w:i w:val="0"/>
        </w:rPr>
        <w:t>For a signed recursive mismatch x_n define the nonnegative amplitude</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z_n := |x_n| ≥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x_{n+1} = κ_n x_n² + r_n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(133)</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|r_n| ≤ β |x_n|⁴,      0 &lt; κ_n ≤ κ̄</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z_{n+1} ≤ κ̄ z_n² + β z_n⁴</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(135)</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q := κ̄R + βR³ &lt; 1</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(136)</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Local recursive contraction basin</w:t>
            </w:r>
          </w:p>
          <w:p>
            <w:pPr>
              <w:spacing w:after="40"/>
            </w:pPr>
            <w:r>
              <w:rPr>
                <w:rFonts w:ascii="Aptos" w:hAnsi="Aptos"/>
                <w:b/>
              </w:rPr>
              <w:t xml:space="preserve">Assumptions. </w:t>
            </w:r>
            <w:r>
              <w:rPr>
                <w:rFonts w:ascii="Aptos" w:hAnsi="Aptos"/>
              </w:rPr>
              <w:t>z_n≤R and q=κ̄R+βR³&lt;1.</w:t>
            </w:r>
          </w:p>
          <w:p>
            <w:pPr>
              <w:spacing w:after="40"/>
            </w:pPr>
            <w:r>
              <w:rPr>
                <w:rFonts w:ascii="Aptos" w:hAnsi="Aptos"/>
                <w:b/>
              </w:rPr>
              <w:t xml:space="preserve">Conclusion. </w:t>
            </w:r>
            <w:r>
              <w:rPr>
                <w:rFonts w:ascii="Aptos" w:hAnsi="Aptos"/>
              </w:rPr>
              <w:t>z_{n+1}≤qz_n and therefore z_n≤q^{n−n₀}z_{n₀} after entry into the basin.</w:t>
            </w:r>
          </w:p>
          <w:p>
            <w:pPr>
              <w:spacing w:after="40"/>
            </w:pPr>
            <w:r>
              <w:rPr>
                <w:rFonts w:ascii="Aptos" w:hAnsi="Aptos"/>
                <w:b/>
              </w:rPr>
              <w:t xml:space="preserve">Proof sketch. </w:t>
            </w:r>
            <w:r>
              <w:rPr>
                <w:rFonts w:ascii="Aptos" w:hAnsi="Aptos"/>
              </w:rPr>
              <w:t>Factor z_n from the upper bound and use z_n≤R.</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z_n ≤ q^(n−n₀) z_{n₀}</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(137)</w:t>
            </w:r>
          </w:p>
        </w:tc>
      </w:tr>
    </w:tbl>
    <w:p>
      <w:pPr/>
      <w:r>
        <w:rPr>
          <w:i w:val="0"/>
        </w:rPr>
        <w:t>If generation requires a positive threshold or next-level negative formation eigenvalue, contraction yields finite termination once the threshold is crossed.</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g_n^form = 1 ⇔ z_n &gt; z_c      [threshold realization]</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x_N = x₀^(2^N) ∏_{j=0}^{N−1} κ_j^(2^(N−1−j))      [leading exact hierarchy]</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(139)</w:t>
            </w:r>
          </w:p>
        </w:tc>
      </w:tr>
    </w:tbl>
    <w:p>
      <w:pPr>
        <w:pStyle w:val="Heading1"/>
        <w:keepNext/>
        <w:keepLines/>
      </w:pPr>
      <w:r>
        <w:t>19. V2 Structural Closure Theorem</w:t>
      </w:r>
    </w:p>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Conditional theorem: V2 structural closure</w:t>
            </w:r>
          </w:p>
          <w:p>
            <w:pPr>
              <w:spacing w:after="40"/>
            </w:pPr>
            <w:r>
              <w:rPr>
                <w:rFonts w:ascii="Aptos" w:hAnsi="Aptos"/>
                <w:b/>
              </w:rPr>
              <w:t xml:space="preserve">Assumptions. </w:t>
            </w:r>
            <w:r>
              <w:rPr>
                <w:rFonts w:ascii="Aptos" w:hAnsi="Aptos"/>
              </w:rPr>
              <w:t>Assume: (i) one isolated negative Level-0 formation mode; (ii) positive H_C and finite positive Y_C; (iii) exact neutral closure; (iv) one protected persistence direction with stable complement; (v) a nondegenerate rank-four soldering sector; (vi) LPCP in a smooth reversible local regime; (vii) sector projectors are upstream spectral projectors; and (viii) the minimal local physical branch introduces no additional preferred spacetime tensor.</w:t>
            </w:r>
          </w:p>
          <w:p>
            <w:pPr>
              <w:spacing w:after="40"/>
            </w:pPr>
            <w:r>
              <w:rPr>
                <w:rFonts w:ascii="Aptos" w:hAnsi="Aptos"/>
                <w:b/>
              </w:rPr>
              <w:t xml:space="preserve">Conclusion. </w:t>
            </w:r>
            <w:r>
              <w:rPr>
                <w:rFonts w:ascii="Aptos" w:hAnsi="Aptos"/>
              </w:rPr>
              <w:t>The theory yields a stable formation branch, bounded neutral retention/complementarity, power-bounded recursive persistence, a Lorentzian local readout, one common massless characteristic cone in the minimal branch, a universal response-Hessian mechanism, and a positive non-double-counting sector budget. Physical gravity, Q_Ω, relational, terminal, and strong-field branches must then be computed as readouts of that single architecture.</w:t>
            </w:r>
          </w:p>
          <w:p>
            <w:pPr>
              <w:spacing w:after="40"/>
            </w:pPr>
            <w:r>
              <w:rPr>
                <w:rFonts w:ascii="Aptos" w:hAnsi="Aptos"/>
                <w:b/>
              </w:rPr>
              <w:t xml:space="preserve">Proof sketch. </w:t>
            </w:r>
            <w:r>
              <w:rPr>
                <w:rFonts w:ascii="Aptos" w:hAnsi="Aptos"/>
              </w:rPr>
              <w:t>Combine the formation, neutral, persistence, Lorentz-inertia, LPCP common-cone, and positive-sector-partition results. No statement of empirical truth follows without matching the master operators and observed data.</w:t>
            </w:r>
          </w:p>
        </w:tc>
      </w:tr>
    </w:tbl>
    <w:p>
      <w:pPr/>
      <w:r>
        <w:rPr>
          <w:i w:val="0"/>
        </w:rPr>
        <w:t>The theorem is intentionally structural. It does not prove that nature realizes the BFG assumptions, nor does it manufacture numerical cosmology or rotating black-hole solutions. Its value is to reduce previously separate downstream model choices to one universal closure bridge plus calculable spectral questions.</w:t>
      </w:r>
    </w:p>
    <w:p>
      <w:pPr>
        <w:pStyle w:val="Heading1"/>
        <w:keepNext/>
        <w:keepLines/>
      </w:pPr>
      <w:r>
        <w:t>20. Robustness Under Perturbations</w:t>
      </w:r>
    </w:p>
    <w:p>
      <w:pPr>
        <w:pStyle w:val="Heading2"/>
        <w:keepNext/>
        <w:keepLines/>
      </w:pPr>
      <w:r>
        <w:t>20.1 Formation robustness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K̃₀ = K₀ + E_K,      E_K=E_K†</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‖E_K‖ &lt; min{−λ₀, Δ₀/2}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(141)</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|λ̃_j − λ_j| ≤ ‖E_K‖</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(142)</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sin∠(ẽ₀,e₀) = O(‖E_K‖/Δ₀)</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(143)</w:t>
            </w:r>
          </w:p>
        </w:tc>
      </w:tr>
    </w:tbl>
    <w:p>
      <w:pPr/>
      <w:r>
        <w:rPr>
          <w:i w:val="0"/>
        </w:rPr>
        <w:t>Classical Hermitian perturbation bounds [3,4] therefore protect the sign and isolation of the formation mode inside the stated margin.</w:t>
      </w:r>
    </w:p>
    <w:p>
      <w:pPr>
        <w:pStyle w:val="Heading2"/>
        <w:keepNext/>
        <w:keepLines/>
      </w:pPr>
      <w:r>
        <w:t>20.2 Neutral and stiffness robustness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‖C_N(Y) − C_N(Z)‖ ≤ ‖Y−Z‖</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(144)</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Z̃_C = H̃_C^(1/2) C_N(Ỹ_C) H̃_C^(1/2)</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(145)</w:t>
            </w:r>
          </w:p>
        </w:tc>
      </w:tr>
    </w:tbl>
    <w:p>
      <w:pPr/>
      <w:r>
        <w:rPr>
          <w:i w:val="0"/>
        </w:rPr>
        <w:t>Continuity of the matrix square root on the positive cone and the resolvent bound imply continuity of the local stiffness away from a closure degeneracy.</w:t>
      </w:r>
    </w:p>
    <w:p>
      <w:pPr>
        <w:pStyle w:val="Heading2"/>
        <w:keepNext/>
        <w:keepLines/>
      </w:pPr>
      <w:r>
        <w:t>20.3 Persistence robustness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R̃_s = R_s + E_R</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(146)</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‖E_R‖_L &lt; 1 − ‖R_s‖_L</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(147)</w:t>
            </w:r>
          </w:p>
        </w:tc>
      </w:tr>
    </w:tbl>
    <w:p>
      <w:pPr>
        <w:pStyle w:val="Heading2"/>
        <w:keepNext/>
        <w:keepLines/>
      </w:pPr>
      <w:r>
        <w:t>20.4 Soldering robustness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S̃ = S + E_S</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(148)</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‖E_S‖ &lt; σ_min(S)</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(149)</w:t>
            </w:r>
          </w:p>
        </w:tc>
      </w:tr>
    </w:tbl>
    <w:p>
      <w:pPr/>
      <w:r>
        <w:rPr>
          <w:i w:val="0"/>
        </w:rPr>
        <w:t>The soldering remains invertible under the displayed singular-value margin.</w:t>
      </w:r>
    </w:p>
    <w:p>
      <w:pPr>
        <w:pStyle w:val="Heading2"/>
        <w:keepNext/>
        <w:keepLines/>
      </w:pPr>
      <w:r>
        <w:t>20.5 Lorentz inertia robustness</w:t>
      </w:r>
    </w:p>
    <w:p>
      <w:pPr/>
      <w:r>
        <w:rPr>
          <w:i w:val="0"/>
        </w:rPr>
        <w:t>Any positive-definite anisotropic perturbation of H_C preserves the inertia of G_L as long as rank P_T=1 remains fixed, by Sylvester congruence invariance [5].</w:t>
      </w:r>
    </w:p>
    <w:p>
      <w:pPr>
        <w:pStyle w:val="Heading2"/>
        <w:keepNext/>
        <w:keepLines/>
      </w:pPr>
      <w:r>
        <w:t>20.6 Sector-gap robustness</w:t>
      </w:r>
    </w:p>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dist(Δ_a,Δ_b) = γ_ab &gt; 0</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(150)</w:t>
            </w:r>
          </w:p>
        </w:tc>
      </w:tr>
    </w:tbl>
    <w:tbl>
      <w:tblPr>
        <w:tblW w:type="auto" w:w="0"/>
        <w:jc w:val="center"/>
        <w:tblLayout w:type="fixed"/>
        <w:tblLook w:firstColumn="1" w:firstRow="1" w:lastColumn="0" w:lastRow="0" w:noHBand="0" w:noVBand="1" w:val="04A0"/>
      </w:tblPr>
      <w:tblGrid>
        <w:gridCol w:w="9288"/>
        <w:gridCol w:w="792"/>
      </w:tblGrid>
      <w:tr>
        <w:trPr>
          <w:cantSplit/>
          <w:cantSplit/>
        </w:trPr>
        <w:tc>
          <w:tcPr>
            <w:tcW w:type="dxa" w:w="4939"/>
            <w:shd w:fill="EAF2F8"/>
            <w:tcMar>
              <w:top w:w="55" w:type="dxa"/>
              <w:start w:w="80" w:type="dxa"/>
              <w:bottom w:w="55" w:type="dxa"/>
              <w:end w:w="80" w:type="dxa"/>
            </w:tcMar>
            <w:vAlign w:val="center"/>
          </w:tcPr>
          <w:p>
            <w:pPr>
              <w:spacing w:after="0"/>
              <w:jc w:val="center"/>
            </w:pPr>
            <w:r>
              <w:rPr>
                <w:rFonts w:ascii="Cambria Math" w:hAnsi="Cambria Math"/>
                <w:sz w:val="19"/>
              </w:rPr>
              <w:t>‖E_𝒮‖ &lt; ½ min_{a≠b} γ_ab</w:t>
            </w:r>
          </w:p>
        </w:tc>
        <w:tc>
          <w:tcPr>
            <w:tcW w:type="dxa" w:w="4939"/>
            <w:shd w:fill="EAF2F8"/>
            <w:tcMar>
              <w:top w:w="55" w:type="dxa"/>
              <w:start w:w="40" w:type="dxa"/>
              <w:bottom w:w="55" w:type="dxa"/>
              <w:end w:w="40" w:type="dxa"/>
            </w:tcMar>
            <w:vAlign w:val="center"/>
          </w:tcPr>
          <w:p>
            <w:pPr>
              <w:spacing w:after="0"/>
              <w:jc w:val="right"/>
            </w:pPr>
            <w:r>
              <w:rPr>
                <w:rFonts w:ascii="Aptos" w:hAnsi="Aptos"/>
                <w:sz w:val="17"/>
              </w:rPr>
              <w:t>(151)</w:t>
            </w:r>
          </w:p>
        </w:tc>
      </w:tr>
    </w:tbl>
    <w:p>
      <w:pPr/>
      <w:r>
        <w:rPr>
          <w:i w:val="0"/>
        </w:rPr>
        <w:t>Under such a gap margin, spectral projectors vary continuously and sector labels cannot exchange without a gap closing.</w:t>
      </w:r>
    </w:p>
    <w:p>
      <w:pPr>
        <w:pStyle w:val="Heading1"/>
        <w:keepNext/>
        <w:keepLines/>
      </w:pPr>
      <w:r>
        <w:t>21. Unified Sector Map</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cantSplit/>
        </w:trPr>
        <w:tc>
          <w:tcPr>
            <w:tcW w:type="dxa" w:w="1728"/>
            <w:shd w:fill="D9EAF7"/>
            <w:vAlign w:val="center"/>
          </w:tcPr>
          <w:p>
            <w:pPr>
              <w:spacing w:after="0"/>
            </w:pPr>
            <w:r>
              <w:rPr>
                <w:rFonts w:ascii="Aptos" w:hAnsi="Aptos"/>
                <w:b/>
                <w:sz w:val="15"/>
              </w:rPr>
              <w:t>Physical regime</w:t>
            </w:r>
          </w:p>
        </w:tc>
        <w:tc>
          <w:tcPr>
            <w:tcW w:type="dxa" w:w="2088"/>
            <w:shd w:fill="D9EAF7"/>
            <w:vAlign w:val="center"/>
          </w:tcPr>
          <w:p>
            <w:pPr>
              <w:spacing w:after="0"/>
            </w:pPr>
            <w:r>
              <w:rPr>
                <w:rFonts w:ascii="Aptos" w:hAnsi="Aptos"/>
                <w:b/>
                <w:sz w:val="15"/>
              </w:rPr>
              <w:t>Upstream source</w:t>
            </w:r>
          </w:p>
        </w:tc>
        <w:tc>
          <w:tcPr>
            <w:tcW w:type="dxa" w:w="2232"/>
            <w:shd w:fill="D9EAF7"/>
            <w:vAlign w:val="center"/>
          </w:tcPr>
          <w:p>
            <w:pPr>
              <w:spacing w:after="0"/>
            </w:pPr>
            <w:r>
              <w:rPr>
                <w:rFonts w:ascii="Aptos" w:hAnsi="Aptos"/>
                <w:b/>
                <w:sz w:val="15"/>
              </w:rPr>
              <w:t>Canonical readout</w:t>
            </w:r>
          </w:p>
        </w:tc>
        <w:tc>
          <w:tcPr>
            <w:tcW w:type="dxa" w:w="4032"/>
            <w:shd w:fill="D9EAF7"/>
            <w:vAlign w:val="center"/>
          </w:tcPr>
          <w:p>
            <w:pPr>
              <w:spacing w:after="0"/>
            </w:pPr>
            <w:r>
              <w:rPr>
                <w:rFonts w:ascii="Aptos" w:hAnsi="Aptos"/>
                <w:b/>
                <w:sz w:val="15"/>
              </w:rPr>
              <w:t>V2 leading consequence</w:t>
            </w:r>
          </w:p>
        </w:tc>
      </w:tr>
      <w:tr>
        <w:trPr>
          <w:cantSplit/>
          <w:cantSplit/>
        </w:trPr>
        <w:tc>
          <w:tcPr>
            <w:tcW w:type="dxa" w:w="1728"/>
            <w:vAlign w:val="center"/>
          </w:tcPr>
          <w:p>
            <w:pPr>
              <w:spacing w:after="0"/>
            </w:pPr>
            <w:r>
              <w:rPr>
                <w:rFonts w:ascii="Aptos" w:hAnsi="Aptos"/>
                <w:sz w:val="15"/>
              </w:rPr>
              <w:t>Formation</w:t>
            </w:r>
          </w:p>
        </w:tc>
        <w:tc>
          <w:tcPr>
            <w:tcW w:type="dxa" w:w="2088"/>
            <w:vAlign w:val="center"/>
          </w:tcPr>
          <w:p>
            <w:pPr>
              <w:spacing w:after="0"/>
            </w:pPr>
            <w:r>
              <w:rPr>
                <w:rFonts w:ascii="Aptos" w:hAnsi="Aptos"/>
                <w:sz w:val="15"/>
              </w:rPr>
              <w:t>K₀</w:t>
            </w:r>
          </w:p>
        </w:tc>
        <w:tc>
          <w:tcPr>
            <w:tcW w:type="dxa" w:w="2232"/>
            <w:vAlign w:val="center"/>
          </w:tcPr>
          <w:p>
            <w:pPr>
              <w:spacing w:after="0"/>
            </w:pPr>
            <w:r>
              <w:rPr>
                <w:rFonts w:ascii="Aptos" w:hAnsi="Aptos"/>
                <w:sz w:val="15"/>
              </w:rPr>
              <w:t>isolated negative mode</w:t>
            </w:r>
          </w:p>
        </w:tc>
        <w:tc>
          <w:tcPr>
            <w:tcW w:type="dxa" w:w="4032"/>
            <w:vAlign w:val="center"/>
          </w:tcPr>
          <w:p>
            <w:pPr>
              <w:spacing w:after="0"/>
            </w:pPr>
            <w:r>
              <w:rPr>
                <w:rFonts w:ascii="Aptos" w:hAnsi="Aptos"/>
                <w:sz w:val="15"/>
              </w:rPr>
              <w:t>δ*≠0; y₀=−λ₀</w:t>
            </w:r>
          </w:p>
        </w:tc>
      </w:tr>
      <w:tr>
        <w:trPr>
          <w:cantSplit/>
          <w:cantSplit/>
        </w:trPr>
        <w:tc>
          <w:tcPr>
            <w:tcW w:type="dxa" w:w="1728"/>
            <w:vAlign w:val="center"/>
          </w:tcPr>
          <w:p>
            <w:pPr>
              <w:spacing w:after="0"/>
            </w:pPr>
            <w:r>
              <w:rPr>
                <w:rFonts w:ascii="Aptos" w:hAnsi="Aptos"/>
                <w:sz w:val="15"/>
              </w:rPr>
              <w:t>Neutral closure</w:t>
            </w:r>
          </w:p>
        </w:tc>
        <w:tc>
          <w:tcPr>
            <w:tcW w:type="dxa" w:w="2088"/>
            <w:vAlign w:val="center"/>
          </w:tcPr>
          <w:p>
            <w:pPr>
              <w:spacing w:after="0"/>
            </w:pPr>
            <w:r>
              <w:rPr>
                <w:rFonts w:ascii="Aptos" w:hAnsi="Aptos"/>
                <w:sz w:val="15"/>
              </w:rPr>
              <w:t>Y_C</w:t>
            </w:r>
          </w:p>
        </w:tc>
        <w:tc>
          <w:tcPr>
            <w:tcW w:type="dxa" w:w="2232"/>
            <w:vAlign w:val="center"/>
          </w:tcPr>
          <w:p>
            <w:pPr>
              <w:spacing w:after="0"/>
            </w:pPr>
            <w:r>
              <w:rPr>
                <w:rFonts w:ascii="Aptos" w:hAnsi="Aptos"/>
                <w:sz w:val="15"/>
              </w:rPr>
              <w:t>C_N, B_N</w:t>
            </w:r>
          </w:p>
        </w:tc>
        <w:tc>
          <w:tcPr>
            <w:tcW w:type="dxa" w:w="4032"/>
            <w:vAlign w:val="center"/>
          </w:tcPr>
          <w:p>
            <w:pPr>
              <w:spacing w:after="0"/>
            </w:pPr>
            <w:r>
              <w:rPr>
                <w:rFonts w:ascii="Aptos" w:hAnsi="Aptos"/>
                <w:sz w:val="15"/>
              </w:rPr>
              <w:t>bounded exact retained/complement response</w:t>
            </w:r>
          </w:p>
        </w:tc>
      </w:tr>
      <w:tr>
        <w:trPr>
          <w:cantSplit/>
          <w:cantSplit/>
        </w:trPr>
        <w:tc>
          <w:tcPr>
            <w:tcW w:type="dxa" w:w="1728"/>
            <w:vAlign w:val="center"/>
          </w:tcPr>
          <w:p>
            <w:pPr>
              <w:spacing w:after="0"/>
            </w:pPr>
            <w:r>
              <w:rPr>
                <w:rFonts w:ascii="Aptos" w:hAnsi="Aptos"/>
                <w:sz w:val="15"/>
              </w:rPr>
              <w:t>Persistence</w:t>
            </w:r>
          </w:p>
        </w:tc>
        <w:tc>
          <w:tcPr>
            <w:tcW w:type="dxa" w:w="2088"/>
            <w:vAlign w:val="center"/>
          </w:tcPr>
          <w:p>
            <w:pPr>
              <w:spacing w:after="0"/>
            </w:pPr>
            <w:r>
              <w:rPr>
                <w:rFonts w:ascii="Aptos" w:hAnsi="Aptos"/>
                <w:sz w:val="15"/>
              </w:rPr>
              <w:t>R_C</w:t>
            </w:r>
          </w:p>
        </w:tc>
        <w:tc>
          <w:tcPr>
            <w:tcW w:type="dxa" w:w="2232"/>
            <w:vAlign w:val="center"/>
          </w:tcPr>
          <w:p>
            <w:pPr>
              <w:spacing w:after="0"/>
            </w:pPr>
            <w:r>
              <w:rPr>
                <w:rFonts w:ascii="Aptos" w:hAnsi="Aptos"/>
                <w:sz w:val="15"/>
              </w:rPr>
              <w:t>P_T</w:t>
            </w:r>
          </w:p>
        </w:tc>
        <w:tc>
          <w:tcPr>
            <w:tcW w:type="dxa" w:w="4032"/>
            <w:vAlign w:val="center"/>
          </w:tcPr>
          <w:p>
            <w:pPr>
              <w:spacing w:after="0"/>
            </w:pPr>
            <w:r>
              <w:rPr>
                <w:rFonts w:ascii="Aptos" w:hAnsi="Aptos"/>
                <w:sz w:val="15"/>
              </w:rPr>
              <w:t>one protected direction + stable complement</w:t>
            </w:r>
          </w:p>
        </w:tc>
      </w:tr>
      <w:tr>
        <w:trPr>
          <w:cantSplit/>
          <w:cantSplit/>
        </w:trPr>
        <w:tc>
          <w:tcPr>
            <w:tcW w:type="dxa" w:w="1728"/>
            <w:vAlign w:val="center"/>
          </w:tcPr>
          <w:p>
            <w:pPr>
              <w:spacing w:after="0"/>
            </w:pPr>
            <w:r>
              <w:rPr>
                <w:rFonts w:ascii="Aptos" w:hAnsi="Aptos"/>
                <w:sz w:val="15"/>
              </w:rPr>
              <w:t>Spacetime</w:t>
            </w:r>
          </w:p>
        </w:tc>
        <w:tc>
          <w:tcPr>
            <w:tcW w:type="dxa" w:w="2088"/>
            <w:vAlign w:val="center"/>
          </w:tcPr>
          <w:p>
            <w:pPr>
              <w:spacing w:after="0"/>
            </w:pPr>
            <w:r>
              <w:rPr>
                <w:rFonts w:ascii="Aptos" w:hAnsi="Aptos"/>
                <w:sz w:val="15"/>
              </w:rPr>
              <w:t>H_C + soldering</w:t>
            </w:r>
          </w:p>
        </w:tc>
        <w:tc>
          <w:tcPr>
            <w:tcW w:type="dxa" w:w="2232"/>
            <w:vAlign w:val="center"/>
          </w:tcPr>
          <w:p>
            <w:pPr>
              <w:spacing w:after="0"/>
            </w:pPr>
            <w:r>
              <w:rPr>
                <w:rFonts w:ascii="Aptos" w:hAnsi="Aptos"/>
                <w:sz w:val="15"/>
              </w:rPr>
              <w:t>Herm(2,C) branch</w:t>
            </w:r>
          </w:p>
        </w:tc>
        <w:tc>
          <w:tcPr>
            <w:tcW w:type="dxa" w:w="4032"/>
            <w:vAlign w:val="center"/>
          </w:tcPr>
          <w:p>
            <w:pPr>
              <w:spacing w:after="0"/>
            </w:pPr>
            <w:r>
              <w:rPr>
                <w:rFonts w:ascii="Aptos" w:hAnsi="Aptos"/>
                <w:sz w:val="15"/>
              </w:rPr>
              <w:t>conditional local 1+3 readout</w:t>
            </w:r>
          </w:p>
        </w:tc>
      </w:tr>
      <w:tr>
        <w:trPr>
          <w:cantSplit/>
          <w:cantSplit/>
        </w:trPr>
        <w:tc>
          <w:tcPr>
            <w:tcW w:type="dxa" w:w="1728"/>
            <w:vAlign w:val="center"/>
          </w:tcPr>
          <w:p>
            <w:pPr>
              <w:spacing w:after="0"/>
            </w:pPr>
            <w:r>
              <w:rPr>
                <w:rFonts w:ascii="Aptos" w:hAnsi="Aptos"/>
                <w:sz w:val="15"/>
              </w:rPr>
              <w:t>Local dynamics</w:t>
            </w:r>
          </w:p>
        </w:tc>
        <w:tc>
          <w:tcPr>
            <w:tcW w:type="dxa" w:w="2088"/>
            <w:vAlign w:val="center"/>
          </w:tcPr>
          <w:p>
            <w:pPr>
              <w:spacing w:after="0"/>
            </w:pPr>
            <w:r>
              <w:rPr>
                <w:rFonts w:ascii="Aptos" w:hAnsi="Aptos"/>
                <w:sz w:val="15"/>
              </w:rPr>
              <w:t>U_C + C_N + H_C</w:t>
            </w:r>
          </w:p>
        </w:tc>
        <w:tc>
          <w:tcPr>
            <w:tcW w:type="dxa" w:w="2232"/>
            <w:vAlign w:val="center"/>
          </w:tcPr>
          <w:p>
            <w:pPr>
              <w:spacing w:after="0"/>
            </w:pPr>
            <w:r>
              <w:rPr>
                <w:rFonts w:ascii="Aptos" w:hAnsi="Aptos"/>
                <w:sz w:val="15"/>
              </w:rPr>
              <w:t>LPC Hessian</w:t>
            </w:r>
          </w:p>
        </w:tc>
        <w:tc>
          <w:tcPr>
            <w:tcW w:type="dxa" w:w="4032"/>
            <w:vAlign w:val="center"/>
          </w:tcPr>
          <w:p>
            <w:pPr>
              <w:spacing w:after="0"/>
            </w:pPr>
            <w:r>
              <w:rPr>
                <w:rFonts w:ascii="Aptos" w:hAnsi="Aptos"/>
                <w:sz w:val="15"/>
              </w:rPr>
              <w:t>single minimal causal cone</w:t>
            </w:r>
          </w:p>
        </w:tc>
      </w:tr>
      <w:tr>
        <w:trPr>
          <w:cantSplit/>
          <w:cantSplit/>
        </w:trPr>
        <w:tc>
          <w:tcPr>
            <w:tcW w:type="dxa" w:w="1728"/>
            <w:vAlign w:val="center"/>
          </w:tcPr>
          <w:p>
            <w:pPr>
              <w:spacing w:after="0"/>
            </w:pPr>
            <w:r>
              <w:rPr>
                <w:rFonts w:ascii="Aptos" w:hAnsi="Aptos"/>
                <w:sz w:val="15"/>
              </w:rPr>
              <w:t>Gravity</w:t>
            </w:r>
          </w:p>
        </w:tc>
        <w:tc>
          <w:tcPr>
            <w:tcW w:type="dxa" w:w="2088"/>
            <w:vAlign w:val="center"/>
          </w:tcPr>
          <w:p>
            <w:pPr>
              <w:spacing w:after="0"/>
            </w:pPr>
            <w:r>
              <w:rPr>
                <w:rFonts w:ascii="Aptos" w:hAnsi="Aptos"/>
                <w:sz w:val="15"/>
              </w:rPr>
              <w:t>geometric LPC block</w:t>
            </w:r>
          </w:p>
        </w:tc>
        <w:tc>
          <w:tcPr>
            <w:tcW w:type="dxa" w:w="2232"/>
            <w:vAlign w:val="center"/>
          </w:tcPr>
          <w:p>
            <w:pPr>
              <w:spacing w:after="0"/>
            </w:pPr>
            <w:r>
              <w:rPr>
                <w:rFonts w:ascii="Aptos" w:hAnsi="Aptos"/>
                <w:sz w:val="15"/>
              </w:rPr>
              <w:t>TT spin-2 stiffness Z_T</w:t>
            </w:r>
          </w:p>
        </w:tc>
        <w:tc>
          <w:tcPr>
            <w:tcW w:type="dxa" w:w="4032"/>
            <w:vAlign w:val="center"/>
          </w:tcPr>
          <w:p>
            <w:pPr>
              <w:spacing w:after="0"/>
            </w:pPr>
            <w:r>
              <w:rPr>
                <w:rFonts w:ascii="Aptos" w:hAnsi="Aptos"/>
                <w:sz w:val="15"/>
              </w:rPr>
              <w:t>Einstein IR branch under conditions</w:t>
            </w:r>
          </w:p>
        </w:tc>
      </w:tr>
      <w:tr>
        <w:trPr>
          <w:cantSplit/>
          <w:cantSplit/>
        </w:trPr>
        <w:tc>
          <w:tcPr>
            <w:tcW w:type="dxa" w:w="1728"/>
            <w:vAlign w:val="center"/>
          </w:tcPr>
          <w:p>
            <w:pPr>
              <w:spacing w:after="0"/>
            </w:pPr>
            <w:r>
              <w:rPr>
                <w:rFonts w:ascii="Aptos" w:hAnsi="Aptos"/>
                <w:sz w:val="15"/>
              </w:rPr>
              <w:t>Q_Ω background</w:t>
            </w:r>
          </w:p>
        </w:tc>
        <w:tc>
          <w:tcPr>
            <w:tcW w:type="dxa" w:w="2088"/>
            <w:vAlign w:val="center"/>
          </w:tcPr>
          <w:p>
            <w:pPr>
              <w:spacing w:after="0"/>
            </w:pPr>
            <w:r>
              <w:rPr>
                <w:rFonts w:ascii="Aptos" w:hAnsi="Aptos"/>
                <w:sz w:val="15"/>
              </w:rPr>
              <w:t>current/holonomy block</w:t>
            </w:r>
          </w:p>
        </w:tc>
        <w:tc>
          <w:tcPr>
            <w:tcW w:type="dxa" w:w="2232"/>
            <w:vAlign w:val="center"/>
          </w:tcPr>
          <w:p>
            <w:pPr>
              <w:spacing w:after="0"/>
            </w:pPr>
            <w:r>
              <w:rPr>
                <w:rFonts w:ascii="Aptos" w:hAnsi="Aptos"/>
                <w:sz w:val="15"/>
              </w:rPr>
              <w:t>J^μ, Ω</w:t>
            </w:r>
          </w:p>
        </w:tc>
        <w:tc>
          <w:tcPr>
            <w:tcW w:type="dxa" w:w="4032"/>
            <w:vAlign w:val="center"/>
          </w:tcPr>
          <w:p>
            <w:pPr>
              <w:spacing w:after="0"/>
            </w:pPr>
            <w:r>
              <w:rPr>
                <w:rFonts w:ascii="Aptos" w:hAnsi="Aptos"/>
                <w:sz w:val="15"/>
              </w:rPr>
              <w:t>p=0; ρ∝a⁻³</w:t>
            </w:r>
          </w:p>
        </w:tc>
      </w:tr>
      <w:tr>
        <w:trPr>
          <w:cantSplit/>
          <w:cantSplit/>
        </w:trPr>
        <w:tc>
          <w:tcPr>
            <w:tcW w:type="dxa" w:w="1728"/>
            <w:vAlign w:val="center"/>
          </w:tcPr>
          <w:p>
            <w:pPr>
              <w:spacing w:after="0"/>
            </w:pPr>
            <w:r>
              <w:rPr>
                <w:rFonts w:ascii="Aptos" w:hAnsi="Aptos"/>
                <w:sz w:val="15"/>
              </w:rPr>
              <w:t>Galactic response</w:t>
            </w:r>
          </w:p>
        </w:tc>
        <w:tc>
          <w:tcPr>
            <w:tcW w:type="dxa" w:w="2088"/>
            <w:vAlign w:val="center"/>
          </w:tcPr>
          <w:p>
            <w:pPr>
              <w:spacing w:after="0"/>
            </w:pPr>
            <w:r>
              <w:rPr>
                <w:rFonts w:ascii="Aptos" w:hAnsi="Aptos"/>
                <w:sz w:val="15"/>
              </w:rPr>
              <w:t>relational B_N load</w:t>
            </w:r>
          </w:p>
        </w:tc>
        <w:tc>
          <w:tcPr>
            <w:tcW w:type="dxa" w:w="2232"/>
            <w:vAlign w:val="center"/>
          </w:tcPr>
          <w:p>
            <w:pPr>
              <w:spacing w:after="0"/>
            </w:pPr>
            <w:r>
              <w:rPr>
                <w:rFonts w:ascii="Aptos" w:hAnsi="Aptos"/>
                <w:sz w:val="15"/>
              </w:rPr>
              <w:t>μ(X), 𝓕_N(X)</w:t>
            </w:r>
          </w:p>
        </w:tc>
        <w:tc>
          <w:tcPr>
            <w:tcW w:type="dxa" w:w="4032"/>
            <w:vAlign w:val="center"/>
          </w:tcPr>
          <w:p>
            <w:pPr>
              <w:spacing w:after="0"/>
            </w:pPr>
            <w:r>
              <w:rPr>
                <w:rFonts w:ascii="Aptos" w:hAnsi="Aptos"/>
                <w:sz w:val="15"/>
              </w:rPr>
              <w:t>BTFR deep scaling</w:t>
            </w:r>
          </w:p>
        </w:tc>
      </w:tr>
      <w:tr>
        <w:trPr>
          <w:cantSplit/>
          <w:cantSplit/>
        </w:trPr>
        <w:tc>
          <w:tcPr>
            <w:tcW w:type="dxa" w:w="1728"/>
            <w:vAlign w:val="center"/>
          </w:tcPr>
          <w:p>
            <w:pPr>
              <w:spacing w:after="0"/>
            </w:pPr>
            <w:r>
              <w:rPr>
                <w:rFonts w:ascii="Aptos" w:hAnsi="Aptos"/>
                <w:sz w:val="15"/>
              </w:rPr>
              <w:t>Lensing</w:t>
            </w:r>
          </w:p>
        </w:tc>
        <w:tc>
          <w:tcPr>
            <w:tcW w:type="dxa" w:w="2088"/>
            <w:vAlign w:val="center"/>
          </w:tcPr>
          <w:p>
            <w:pPr>
              <w:spacing w:after="0"/>
            </w:pPr>
            <w:r>
              <w:rPr>
                <w:rFonts w:ascii="Aptos" w:hAnsi="Aptos"/>
                <w:sz w:val="15"/>
              </w:rPr>
              <w:t>same metric solution</w:t>
            </w:r>
          </w:p>
        </w:tc>
        <w:tc>
          <w:tcPr>
            <w:tcW w:type="dxa" w:w="2232"/>
            <w:vAlign w:val="center"/>
          </w:tcPr>
          <w:p>
            <w:pPr>
              <w:spacing w:after="0"/>
            </w:pPr>
            <w:r>
              <w:rPr>
                <w:rFonts w:ascii="Aptos" w:hAnsi="Aptos"/>
                <w:sz w:val="15"/>
              </w:rPr>
              <w:t>Φ, Ψ</w:t>
            </w:r>
          </w:p>
        </w:tc>
        <w:tc>
          <w:tcPr>
            <w:tcW w:type="dxa" w:w="4032"/>
            <w:vAlign w:val="center"/>
          </w:tcPr>
          <w:p>
            <w:pPr>
              <w:spacing w:after="0"/>
            </w:pPr>
            <w:r>
              <w:rPr>
                <w:rFonts w:ascii="Aptos" w:hAnsi="Aptos"/>
                <w:sz w:val="15"/>
              </w:rPr>
              <w:t>slip and Weyl potential calculated</w:t>
            </w:r>
          </w:p>
        </w:tc>
      </w:tr>
      <w:tr>
        <w:trPr>
          <w:cantSplit/>
          <w:cantSplit/>
        </w:trPr>
        <w:tc>
          <w:tcPr>
            <w:tcW w:type="dxa" w:w="1728"/>
            <w:vAlign w:val="center"/>
          </w:tcPr>
          <w:p>
            <w:pPr>
              <w:spacing w:after="0"/>
            </w:pPr>
            <w:r>
              <w:rPr>
                <w:rFonts w:ascii="Aptos" w:hAnsi="Aptos"/>
                <w:sz w:val="15"/>
              </w:rPr>
              <w:t>Terminal residual</w:t>
            </w:r>
          </w:p>
        </w:tc>
        <w:tc>
          <w:tcPr>
            <w:tcW w:type="dxa" w:w="2088"/>
            <w:vAlign w:val="center"/>
          </w:tcPr>
          <w:p>
            <w:pPr>
              <w:spacing w:after="0"/>
            </w:pPr>
            <w:r>
              <w:rPr>
                <w:rFonts w:ascii="Aptos" w:hAnsi="Aptos"/>
                <w:sz w:val="15"/>
              </w:rPr>
              <w:t>ℬ_⊥ + spectral gate</w:t>
            </w:r>
          </w:p>
        </w:tc>
        <w:tc>
          <w:tcPr>
            <w:tcW w:type="dxa" w:w="2232"/>
            <w:vAlign w:val="center"/>
          </w:tcPr>
          <w:p>
            <w:pPr>
              <w:spacing w:after="0"/>
            </w:pPr>
            <w:r>
              <w:rPr>
                <w:rFonts w:ascii="Aptos" w:hAnsi="Aptos"/>
                <w:sz w:val="15"/>
              </w:rPr>
              <w:t>E_⊥(V)</w:t>
            </w:r>
          </w:p>
        </w:tc>
        <w:tc>
          <w:tcPr>
            <w:tcW w:type="dxa" w:w="4032"/>
            <w:vAlign w:val="center"/>
          </w:tcPr>
          <w:p>
            <w:pPr>
              <w:spacing w:after="0"/>
            </w:pPr>
            <w:r>
              <w:rPr>
                <w:rFonts w:ascii="Aptos" w:hAnsi="Aptos"/>
                <w:sz w:val="15"/>
              </w:rPr>
              <w:t>general w(a); vacuum w=−1 branch</w:t>
            </w:r>
          </w:p>
        </w:tc>
      </w:tr>
      <w:tr>
        <w:trPr>
          <w:cantSplit/>
          <w:cantSplit/>
        </w:trPr>
        <w:tc>
          <w:tcPr>
            <w:tcW w:type="dxa" w:w="1728"/>
            <w:vAlign w:val="center"/>
          </w:tcPr>
          <w:p>
            <w:pPr>
              <w:spacing w:after="0"/>
            </w:pPr>
            <w:r>
              <w:rPr>
                <w:rFonts w:ascii="Aptos" w:hAnsi="Aptos"/>
                <w:sz w:val="15"/>
              </w:rPr>
              <w:t>Strong field</w:t>
            </w:r>
          </w:p>
        </w:tc>
        <w:tc>
          <w:tcPr>
            <w:tcW w:type="dxa" w:w="2088"/>
            <w:vAlign w:val="center"/>
          </w:tcPr>
          <w:p>
            <w:pPr>
              <w:spacing w:after="0"/>
            </w:pPr>
            <w:r>
              <w:rPr>
                <w:rFonts w:ascii="Aptos" w:hAnsi="Aptos"/>
                <w:sz w:val="15"/>
              </w:rPr>
              <w:t>high-load B_N</w:t>
            </w:r>
          </w:p>
        </w:tc>
        <w:tc>
          <w:tcPr>
            <w:tcW w:type="dxa" w:w="2232"/>
            <w:vAlign w:val="center"/>
          </w:tcPr>
          <w:p>
            <w:pPr>
              <w:spacing w:after="0"/>
            </w:pPr>
            <w:r>
              <w:rPr>
                <w:rFonts w:ascii="Aptos" w:hAnsi="Aptos"/>
                <w:sz w:val="15"/>
              </w:rPr>
              <w:t>saturation</w:t>
            </w:r>
          </w:p>
        </w:tc>
        <w:tc>
          <w:tcPr>
            <w:tcW w:type="dxa" w:w="4032"/>
            <w:vAlign w:val="center"/>
          </w:tcPr>
          <w:p>
            <w:pPr>
              <w:spacing w:after="0"/>
            </w:pPr>
            <w:r>
              <w:rPr>
                <w:rFonts w:ascii="Aptos" w:hAnsi="Aptos"/>
                <w:sz w:val="15"/>
              </w:rPr>
              <w:t>conditional local regular core</w:t>
            </w:r>
          </w:p>
        </w:tc>
      </w:tr>
      <w:tr>
        <w:trPr>
          <w:cantSplit/>
          <w:cantSplit/>
        </w:trPr>
        <w:tc>
          <w:tcPr>
            <w:tcW w:type="dxa" w:w="1728"/>
            <w:vAlign w:val="center"/>
          </w:tcPr>
          <w:p>
            <w:pPr>
              <w:spacing w:after="0"/>
            </w:pPr>
            <w:r>
              <w:rPr>
                <w:rFonts w:ascii="Aptos" w:hAnsi="Aptos"/>
                <w:sz w:val="15"/>
              </w:rPr>
              <w:t>Hierarchy</w:t>
            </w:r>
          </w:p>
        </w:tc>
        <w:tc>
          <w:tcPr>
            <w:tcW w:type="dxa" w:w="2088"/>
            <w:vAlign w:val="center"/>
          </w:tcPr>
          <w:p>
            <w:pPr>
              <w:spacing w:after="0"/>
            </w:pPr>
            <w:r>
              <w:rPr>
                <w:rFonts w:ascii="Aptos" w:hAnsi="Aptos"/>
                <w:sz w:val="15"/>
              </w:rPr>
              <w:t>recursive residual map</w:t>
            </w:r>
          </w:p>
        </w:tc>
        <w:tc>
          <w:tcPr>
            <w:tcW w:type="dxa" w:w="2232"/>
            <w:vAlign w:val="center"/>
          </w:tcPr>
          <w:p>
            <w:pPr>
              <w:spacing w:after="0"/>
            </w:pPr>
            <w:r>
              <w:rPr>
                <w:rFonts w:ascii="Aptos" w:hAnsi="Aptos"/>
                <w:sz w:val="15"/>
              </w:rPr>
              <w:t>z_n, spectral gate</w:t>
            </w:r>
          </w:p>
        </w:tc>
        <w:tc>
          <w:tcPr>
            <w:tcW w:type="dxa" w:w="4032"/>
            <w:vAlign w:val="center"/>
          </w:tcPr>
          <w:p>
            <w:pPr>
              <w:spacing w:after="0"/>
            </w:pPr>
            <w:r>
              <w:rPr>
                <w:rFonts w:ascii="Aptos" w:hAnsi="Aptos"/>
                <w:sz w:val="15"/>
              </w:rPr>
              <w:t>finite termination in contraction basin</w:t>
            </w:r>
          </w:p>
        </w:tc>
      </w:tr>
    </w:tbl>
    <w:p>
      <w:pPr>
        <w:pStyle w:val="Heading1"/>
        <w:keepNext/>
        <w:keepLines/>
      </w:pPr>
      <w:r>
        <w:t>22. Falsification and Observational Benchmarks</w:t>
      </w:r>
    </w:p>
    <w:p>
      <w:pPr/>
      <w:r>
        <w:rPr>
          <w:i w:val="0"/>
        </w:rPr>
        <w:t>The external literature is used as a benchmark set, not as evidence that BFG is correct. Version 2 is stronger only if the same upstream operator set survives all relevant tests without sector-specific retuning.</w:t>
      </w:r>
    </w:p>
    <w:p>
      <w:pPr>
        <w:pStyle w:val="ListBullet"/>
        <w:spacing w:after="50"/>
      </w:pPr>
      <w:r>
        <w:t>Formation: λ₀ must remain negative and isolated; Δ₀ must stay nonzero under admissible perturbations.</w:t>
      </w:r>
    </w:p>
    <w:p>
      <w:pPr>
        <w:pStyle w:val="ListBullet"/>
        <w:spacing w:after="50"/>
      </w:pPr>
      <w:r>
        <w:t>Neutral closure: H_C must remain positive and C_N/B_N must fit the physical response mapping without introducing extra poles.</w:t>
      </w:r>
    </w:p>
    <w:p>
      <w:pPr>
        <w:pStyle w:val="ListBullet"/>
        <w:spacing w:after="50"/>
      </w:pPr>
      <w:r>
        <w:t>Local closure: a fundamental sector requiring an unexplained second causal metric or independently fitted principal coefficient falsifies the minimal LPCP branch.</w:t>
      </w:r>
    </w:p>
    <w:p>
      <w:pPr>
        <w:pStyle w:val="ListBullet"/>
        <w:spacing w:after="50"/>
      </w:pPr>
      <w:r>
        <w:t>Gravitational waves: the massless geometric branch must share the observed luminal cone to the precision constrained by GW170817/GRB170817A [9].</w:t>
      </w:r>
    </w:p>
    <w:p>
      <w:pPr>
        <w:pStyle w:val="ListBullet"/>
        <w:spacing w:after="50"/>
      </w:pPr>
      <w:r>
        <w:t>Gravity: the master LPC Hessian must actually contain exactly one healthy gapless symmetric spin-2 block and yield acceptable post-Newtonian and strong-field limits.</w:t>
      </w:r>
    </w:p>
    <w:p>
      <w:pPr>
        <w:pStyle w:val="ListBullet"/>
        <w:spacing w:after="50"/>
      </w:pPr>
      <w:r>
        <w:t>Cosmological matter: the Q_Ω branch must reproduce the required background density and perturbation growth without a hidden unstable mode; Planck and DESI provide benchmark constraints [10–12].</w:t>
      </w:r>
    </w:p>
    <w:p>
      <w:pPr>
        <w:pStyle w:val="ListBullet"/>
        <w:spacing w:after="50"/>
      </w:pPr>
      <w:r>
        <w:t>Galaxies: the fixed B_N relational law must reproduce normalization, transition behavior, scatter, morphology dependence, and external-field behavior across real systems [13,14,27,30].</w:t>
      </w:r>
    </w:p>
    <w:p>
      <w:pPr>
        <w:pStyle w:val="ListBullet"/>
        <w:spacing w:after="50"/>
      </w:pPr>
      <w:r>
        <w:t>No double counting: local Q_Ω mass plus relational enhancement must not broaden the baryonic Tully-Fisher relation beyond the observed scatter budget [30].</w:t>
      </w:r>
    </w:p>
    <w:p>
      <w:pPr>
        <w:pStyle w:val="ListBullet"/>
        <w:spacing w:after="50"/>
      </w:pPr>
      <w:r>
        <w:t>Lensing: Φ and Ψ computed from the same covariant equations must fit galaxy, cluster, weak-lensing, and CMB-lensing observations [15,28,29].</w:t>
      </w:r>
    </w:p>
    <w:p>
      <w:pPr>
        <w:pStyle w:val="ListBullet"/>
        <w:spacing w:after="50"/>
      </w:pPr>
      <w:r>
        <w:t>Dark energy: E_⊥(V) must predict an expansion history compatible with data; w(a) is not to be selected after the fit [11,12].</w:t>
      </w:r>
    </w:p>
    <w:p>
      <w:pPr>
        <w:pStyle w:val="ListBullet"/>
        <w:spacing w:after="50"/>
      </w:pPr>
      <w:r>
        <w:t>Strong field: spherical regularity is insufficient. Rotating solutions and inner-horizon stability must survive nonlinear perturbations [16–18].</w:t>
      </w:r>
    </w:p>
    <w:p>
      <w:pPr>
        <w:pStyle w:val="ListBullet"/>
        <w:spacing w:after="50"/>
      </w:pPr>
      <w:r>
        <w:t>Global no-retuning: changing the universal B_N law or introducing a new sector-specific response function to rescue one dataset counts as failure of the Strong Form.</w:t>
      </w:r>
    </w:p>
    <w:p>
      <w:pPr>
        <w:pStyle w:val="Heading2"/>
        <w:keepNext/>
        <w:keepLines/>
      </w:pPr>
      <w:r>
        <w:t>22.1 Mathematical failure surfaces</w:t>
      </w:r>
    </w:p>
    <w:p>
      <w:pPr>
        <w:pStyle w:val="ListBullet"/>
        <w:spacing w:after="50"/>
      </w:pPr>
      <w:r>
        <w:t>λ₀=0 — loss of the nontrivial formation branch.</w:t>
      </w:r>
    </w:p>
    <w:p>
      <w:pPr>
        <w:pStyle w:val="ListBullet"/>
        <w:spacing w:after="50"/>
      </w:pPr>
      <w:r>
        <w:t>Δ₀=0 — loss of isolated formation mode.</w:t>
      </w:r>
    </w:p>
    <w:p>
      <w:pPr>
        <w:pStyle w:val="ListBullet"/>
        <w:spacing w:after="50"/>
      </w:pPr>
      <w:r>
        <w:t>λ_min(H_C)=0 — degeneracy of positive closure geometry.</w:t>
      </w:r>
    </w:p>
    <w:p>
      <w:pPr>
        <w:pStyle w:val="ListBullet"/>
        <w:spacing w:after="50"/>
      </w:pPr>
      <w:r>
        <w:t>‖R_s‖_L=1 — loss of strict transverse stability.</w:t>
      </w:r>
    </w:p>
    <w:p>
      <w:pPr>
        <w:pStyle w:val="ListBullet"/>
        <w:spacing w:after="50"/>
      </w:pPr>
      <w:r>
        <w:t>rank P_T≠1 after quotient — loss of unique protected persistence direction.</w:t>
      </w:r>
    </w:p>
    <w:p>
      <w:pPr>
        <w:pStyle w:val="ListBullet"/>
        <w:spacing w:after="50"/>
      </w:pPr>
      <w:r>
        <w:t>σ_min(S)=0 — loss of rank-four soldering.</w:t>
      </w:r>
    </w:p>
    <w:p>
      <w:pPr>
        <w:pStyle w:val="ListBullet"/>
        <w:spacing w:after="50"/>
      </w:pPr>
      <w:r>
        <w:t>A claimed sector has no upstream spectral gap — loss of canonical sector identity.</w:t>
      </w:r>
    </w:p>
    <w:p>
      <w:pPr>
        <w:pStyle w:val="ListBullet"/>
        <w:spacing w:after="50"/>
      </w:pPr>
      <w:r>
        <w:t>Z_a≤0 — ghost/negative-stiffness failure of a local physical block.</w:t>
      </w:r>
    </w:p>
    <w:p>
      <w:pPr>
        <w:pStyle w:val="ListBullet"/>
        <w:spacing w:after="50"/>
      </w:pPr>
      <w:r>
        <w:t>A massless fundamental block requires a second unexplained characteristic cone — failure of the minimal LPCP branch.</w:t>
      </w:r>
    </w:p>
    <w:p>
      <w:pPr>
        <w:pStyle w:val="ListBullet"/>
        <w:spacing w:after="50"/>
      </w:pPr>
      <w:r>
        <w:t>The terminal gate or sector weights can be chosen only after seeing data — failure of spectral predictivity.</w:t>
      </w:r>
    </w:p>
    <w:p>
      <w:pPr>
        <w:pStyle w:val="ListBullet"/>
        <w:spacing w:after="50"/>
      </w:pPr>
      <w:r>
        <w:t>The full Q_Ω + relational solution violates the observed galactic scatter budget.</w:t>
      </w:r>
    </w:p>
    <w:p>
      <w:pPr>
        <w:pStyle w:val="ListBullet"/>
        <w:spacing w:after="50"/>
      </w:pPr>
      <w:r>
        <w:t>The strong-field equations generate divergent invariant curvature or generic inner-horizon instability.</w:t>
      </w:r>
    </w:p>
    <w:p>
      <w:pPr>
        <w:pStyle w:val="Heading1"/>
        <w:keepNext/>
        <w:keepLines/>
      </w:pPr>
      <w:r>
        <w:t>23. Limitations and Unresolved Calculations</w:t>
      </w:r>
    </w:p>
    <w:p>
      <w:pPr>
        <w:pStyle w:val="ListBullet"/>
        <w:spacing w:after="50"/>
      </w:pPr>
      <w:r>
        <w:t>The microscopic operators 𝔇₀, 𝔠₀, and ℵ₀ are not yet uniquely derived from a deeper microscopic model.</w:t>
      </w:r>
    </w:p>
    <w:p>
      <w:pPr>
        <w:pStyle w:val="ListBullet"/>
        <w:spacing w:after="50"/>
      </w:pPr>
      <w:r>
        <w:t>The relation between the real Level-0 profile space and the later complex local carrier remains a structural bridge rather than a completed microscopic derivation.</w:t>
      </w:r>
    </w:p>
    <w:p>
      <w:pPr>
        <w:pStyle w:val="ListBullet"/>
        <w:spacing w:after="50"/>
      </w:pPr>
      <w:r>
        <w:t>The n=2 carrier result is conditional on determinant-based quadratic causality and does not exclude non-metric higher-degree causal geometries outside that assumption set.</w:t>
      </w:r>
    </w:p>
    <w:p>
      <w:pPr>
        <w:pStyle w:val="ListBullet"/>
        <w:spacing w:after="50"/>
      </w:pPr>
      <w:r>
        <w:t>LPCP is a new BFG physical principle. Version 2 does not claim that Level 0 has already proved LPCP.</w:t>
      </w:r>
    </w:p>
    <w:p>
      <w:pPr>
        <w:pStyle w:val="ListBullet"/>
        <w:spacing w:after="50"/>
      </w:pPr>
      <w:r>
        <w:t>The actual local master spectrum has not yet been computed from a fully specified microscopic BFG model; therefore Z_T, a_Q, terminal spectral values, and other numerical quantities are not yet first-principles numbers.</w:t>
      </w:r>
    </w:p>
    <w:p>
      <w:pPr>
        <w:pStyle w:val="ListBullet"/>
        <w:spacing w:after="50"/>
      </w:pPr>
      <w:r>
        <w:t>The geometric LPC Hessian must still be shown explicitly to contain exactly one healthy gapless symmetric spin-2 block.</w:t>
      </w:r>
    </w:p>
    <w:p>
      <w:pPr>
        <w:pStyle w:val="ListBullet"/>
        <w:spacing w:after="50"/>
      </w:pPr>
      <w:r>
        <w:t>The single-potential Q_Ω branch closes homogeneous dust behavior but does not by itself describe generic vortical or multistreaming halo phase space.</w:t>
      </w:r>
    </w:p>
    <w:p>
      <w:pPr>
        <w:pStyle w:val="ListBullet"/>
        <w:spacing w:after="50"/>
      </w:pPr>
      <w:r>
        <w:t>A complete covariant perturbation implementation and Boltzmann calculation is still required before claiming CMB, LSS, BAO, or precision-lensing success.</w:t>
      </w:r>
    </w:p>
    <w:p>
      <w:pPr>
        <w:pStyle w:val="ListBullet"/>
        <w:spacing w:after="50"/>
      </w:pPr>
      <w:r>
        <w:t>The low-acceleration galactic law is derived as an effective quasistatic branch; its simultaneous relativistic completion with Q_Ω must pass stability, Solar-System, and lensing tests.</w:t>
      </w:r>
    </w:p>
    <w:p>
      <w:pPr>
        <w:pStyle w:val="ListBullet"/>
        <w:spacing w:after="50"/>
      </w:pPr>
      <w:r>
        <w:t>The terminal residual equation of state is not fixed until E_⊥(V) is computed from the actual recursive closure trajectory.</w:t>
      </w:r>
    </w:p>
    <w:p>
      <w:pPr>
        <w:pStyle w:val="ListBullet"/>
        <w:spacing w:after="50"/>
      </w:pPr>
      <w:r>
        <w:t>Strong-field saturation plus a finite isotropic core is not a theorem of global Kerr regularity, Cauchy-horizon stability, or semiclassical completeness.</w:t>
      </w:r>
    </w:p>
    <w:p>
      <w:pPr>
        <w:pStyle w:val="ListBullet"/>
        <w:spacing w:after="50"/>
      </w:pPr>
      <w:r>
        <w:t>The framework has not yet passed a simultaneous no-retuning fit to gravitational waves, Solar-System tests, galaxies, clusters, CMB, BAO, supernovae, LSS, lensing, and compact objects.</w:t>
      </w:r>
    </w:p>
    <w:p>
      <w:pPr>
        <w:pStyle w:val="Heading1"/>
        <w:keepNext/>
        <w:keepLines/>
      </w:pPr>
      <w:r>
        <w:t>24. Research Program</w:t>
      </w:r>
    </w:p>
    <w:p>
      <w:pPr>
        <w:spacing w:after="60"/>
      </w:pPr>
      <w:r>
        <w:rPr>
          <w:b/>
        </w:rPr>
        <w:t xml:space="preserve">Microscopic Level 0: </w:t>
      </w:r>
      <w:r>
        <w:t>Specify 𝔇₀, 𝔠₀, and ℵ₀ without downstream fitting; compute λ₀, Δ₀, and their perturbation margins.</w:t>
      </w:r>
    </w:p>
    <w:p>
      <w:pPr>
        <w:spacing w:after="60"/>
      </w:pPr>
      <w:r>
        <w:rPr>
          <w:b/>
        </w:rPr>
        <w:t xml:space="preserve">Master closure: </w:t>
      </w:r>
      <w:r>
        <w:t>Construct D_cov𝔠, W_N, L_C, and the self-adjoint sector classifier 𝒮_C from one upstream model.</w:t>
      </w:r>
    </w:p>
    <w:p>
      <w:pPr>
        <w:spacing w:after="60"/>
      </w:pPr>
      <w:r>
        <w:rPr>
          <w:b/>
        </w:rPr>
        <w:t xml:space="preserve">Local physical closure: </w:t>
      </w:r>
      <w:r>
        <w:t>Instantiate U_C and the LPC response Hessian from the same retained transport; verify hyperbolicity and positivity of every propagated block.</w:t>
      </w:r>
    </w:p>
    <w:p>
      <w:pPr>
        <w:spacing w:after="60"/>
      </w:pPr>
      <w:r>
        <w:rPr>
          <w:b/>
        </w:rPr>
        <w:t xml:space="preserve">Spin-2 spectrum: </w:t>
      </w:r>
      <w:r>
        <w:t>Compute the full tensor Hessian, verify exactly one healthy gapless spin-2 mode, and calculate Z_T and G_BFG.</w:t>
      </w:r>
    </w:p>
    <w:p>
      <w:pPr>
        <w:spacing w:after="60"/>
      </w:pPr>
      <w:r>
        <w:rPr>
          <w:b/>
        </w:rPr>
        <w:t xml:space="preserve">Q_Ω representation: </w:t>
      </w:r>
      <w:r>
        <w:t>Determine whether the dark current block requires only an irrotational phase or a higher-rank/comoving-label closure carrier for realistic halos.</w:t>
      </w:r>
    </w:p>
    <w:p>
      <w:pPr>
        <w:spacing w:after="60"/>
      </w:pPr>
      <w:r>
        <w:rPr>
          <w:b/>
        </w:rPr>
        <w:t xml:space="preserve">Joint galaxy solution: </w:t>
      </w:r>
      <w:r>
        <w:t>Solve baryons + Q_Ω + fixed B_N relational response without free halo profiles; test BTFR/RAR normalization and scatter.</w:t>
      </w:r>
    </w:p>
    <w:p>
      <w:pPr>
        <w:spacing w:after="60"/>
      </w:pPr>
      <w:r>
        <w:rPr>
          <w:b/>
        </w:rPr>
        <w:t xml:space="preserve">Linear cosmology: </w:t>
      </w:r>
      <w:r>
        <w:t>Derive μ_cos(k,a), η(k,a), and Σ(k,a) from the same Hessian and implement the equations in a Boltzmann solver.</w:t>
      </w:r>
    </w:p>
    <w:p>
      <w:pPr>
        <w:spacing w:after="60"/>
      </w:pPr>
      <w:r>
        <w:rPr>
          <w:b/>
        </w:rPr>
        <w:t xml:space="preserve">Terminal sector: </w:t>
      </w:r>
      <w:r>
        <w:t>Compute N_*, E_⊥(V), and w_⊥(a) from the recursive spectrum rather than assigning Λ by hand.</w:t>
      </w:r>
    </w:p>
    <w:p>
      <w:pPr>
        <w:spacing w:after="60"/>
      </w:pPr>
      <w:r>
        <w:rPr>
          <w:b/>
        </w:rPr>
        <w:t xml:space="preserve">Strong field: </w:t>
      </w:r>
      <w:r>
        <w:t>Solve full nonlinear spherical and rotating branches; audit inner horizons, mass inflation, curvature invariants, and geodesic completeness.</w:t>
      </w:r>
    </w:p>
    <w:p>
      <w:pPr>
        <w:spacing w:after="60"/>
      </w:pPr>
      <w:r>
        <w:rPr>
          <w:b/>
        </w:rPr>
        <w:t xml:space="preserve">Global inference: </w:t>
      </w:r>
      <w:r>
        <w:t>Fit one frozen upstream architecture across all observational domains and publish null-model and ablation comparisons.</w:t>
      </w:r>
    </w:p>
    <w:p>
      <w:r>
        <w:br w:type="page"/>
      </w:r>
    </w:p>
    <w:p>
      <w:pPr>
        <w:pStyle w:val="Heading1"/>
        <w:keepNext/>
        <w:keepLines/>
      </w:pPr>
      <w:r>
        <w:t>Appendix A. Proof Package</w:t>
      </w:r>
    </w:p>
    <w:p>
      <w:pPr/>
      <w:r>
        <w:rPr>
          <w:i w:val="0"/>
        </w:rPr>
        <w:t>All exact results below are finite-dimensional unless otherwise stated. Conditional physical theorems list their additional assumptions explicitly.</w:t>
      </w:r>
    </w:p>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 Formation coercivity</w:t>
            </w:r>
          </w:p>
          <w:p>
            <w:pPr>
              <w:spacing w:after="40"/>
            </w:pPr>
            <w:r>
              <w:rPr>
                <w:rFonts w:ascii="Aptos" w:hAnsi="Aptos"/>
                <w:b/>
              </w:rPr>
              <w:t xml:space="preserve">Assumptions. </w:t>
            </w:r>
            <w:r>
              <w:rPr>
                <w:rFonts w:ascii="Aptos" w:hAnsi="Aptos"/>
              </w:rPr>
              <w:t>K₀ real-symmetric.</w:t>
            </w:r>
          </w:p>
          <w:p>
            <w:pPr>
              <w:spacing w:after="40"/>
            </w:pPr>
            <w:r>
              <w:rPr>
                <w:rFonts w:ascii="Aptos" w:hAnsi="Aptos"/>
                <w:b/>
              </w:rPr>
              <w:t xml:space="preserve">Conclusion. </w:t>
            </w:r>
            <w:r>
              <w:rPr>
                <w:rFonts w:ascii="Aptos" w:hAnsi="Aptos"/>
              </w:rPr>
              <w:t>𝒜_Adm attains a global minimum.</w:t>
            </w:r>
          </w:p>
          <w:p>
            <w:pPr>
              <w:spacing w:after="40"/>
            </w:pPr>
            <w:r>
              <w:rPr>
                <w:rFonts w:ascii="Aptos" w:hAnsi="Aptos"/>
                <w:b/>
              </w:rPr>
              <w:t xml:space="preserve">Proof sketch. </w:t>
            </w:r>
            <w:r>
              <w:rPr>
                <w:rFonts w:ascii="Aptos" w:hAnsi="Aptos"/>
              </w:rPr>
              <w:t>Positive quartic growth dominates the quadratic term.</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A2. Formation minima</w:t>
            </w:r>
          </w:p>
          <w:p>
            <w:pPr>
              <w:spacing w:after="40"/>
            </w:pPr>
            <w:r>
              <w:rPr>
                <w:rFonts w:ascii="Aptos" w:hAnsi="Aptos"/>
                <w:b/>
              </w:rPr>
              <w:t xml:space="preserve">Assumptions. </w:t>
            </w:r>
            <w:r>
              <w:rPr>
                <w:rFonts w:ascii="Aptos" w:hAnsi="Aptos"/>
              </w:rPr>
              <w:t>λ₀&lt;0 simple.</w:t>
            </w:r>
          </w:p>
          <w:p>
            <w:pPr>
              <w:spacing w:after="40"/>
            </w:pPr>
            <w:r>
              <w:rPr>
                <w:rFonts w:ascii="Aptos" w:hAnsi="Aptos"/>
                <w:b/>
              </w:rPr>
              <w:t xml:space="preserve">Conclusion. </w:t>
            </w:r>
            <w:r>
              <w:rPr>
                <w:rFonts w:ascii="Aptos" w:hAnsi="Aptos"/>
              </w:rPr>
              <w:t>Minima are ±√(−λ₀)e₀.</w:t>
            </w:r>
          </w:p>
          <w:p>
            <w:pPr>
              <w:spacing w:after="40"/>
            </w:pPr>
            <w:r>
              <w:rPr>
                <w:rFonts w:ascii="Aptos" w:hAnsi="Aptos"/>
                <w:b/>
              </w:rPr>
              <w:t xml:space="preserve">Proof sketch. </w:t>
            </w:r>
            <w:r>
              <w:rPr>
                <w:rFonts w:ascii="Aptos" w:hAnsi="Aptos"/>
              </w:rPr>
              <w:t>Rayleigh-Ritz plus scalar minimization.</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A3. Formation Hessian</w:t>
            </w:r>
          </w:p>
          <w:p>
            <w:pPr>
              <w:spacing w:after="40"/>
            </w:pPr>
            <w:r>
              <w:rPr>
                <w:rFonts w:ascii="Aptos" w:hAnsi="Aptos"/>
                <w:b/>
              </w:rPr>
              <w:t xml:space="preserve">Assumptions. </w:t>
            </w:r>
            <w:r>
              <w:rPr>
                <w:rFonts w:ascii="Aptos" w:hAnsi="Aptos"/>
              </w:rPr>
              <w:t>λ₀ simple and Δ₀&gt;0.</w:t>
            </w:r>
          </w:p>
          <w:p>
            <w:pPr>
              <w:spacing w:after="40"/>
            </w:pPr>
            <w:r>
              <w:rPr>
                <w:rFonts w:ascii="Aptos" w:hAnsi="Aptos"/>
                <w:b/>
              </w:rPr>
              <w:t xml:space="preserve">Conclusion. </w:t>
            </w:r>
            <w:r>
              <w:rPr>
                <w:rFonts w:ascii="Aptos" w:hAnsi="Aptos"/>
              </w:rPr>
              <w:t>Hessian at either minimum is positive definite.</w:t>
            </w:r>
          </w:p>
          <w:p>
            <w:pPr>
              <w:spacing w:after="40"/>
            </w:pPr>
            <w:r>
              <w:rPr>
                <w:rFonts w:ascii="Aptos" w:hAnsi="Aptos"/>
                <w:b/>
              </w:rPr>
              <w:t xml:space="preserve">Proof sketch. </w:t>
            </w:r>
            <w:r>
              <w:rPr>
                <w:rFonts w:ascii="Aptos" w:hAnsi="Aptos"/>
              </w:rPr>
              <w:t>Radial eigenvalue −2λ₀; transverse eigenvalues λ_j−λ₀.</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A4. Neutral complementarity</w:t>
            </w:r>
          </w:p>
          <w:p>
            <w:pPr>
              <w:spacing w:after="40"/>
            </w:pPr>
            <w:r>
              <w:rPr>
                <w:rFonts w:ascii="Aptos" w:hAnsi="Aptos"/>
                <w:b/>
              </w:rPr>
              <w:t xml:space="preserve">Assumptions. </w:t>
            </w:r>
            <w:r>
              <w:rPr>
                <w:rFonts w:ascii="Aptos" w:hAnsi="Aptos"/>
              </w:rPr>
              <w:t>Y=A†A≥0.</w:t>
            </w:r>
          </w:p>
          <w:p>
            <w:pPr>
              <w:spacing w:after="40"/>
            </w:pPr>
            <w:r>
              <w:rPr>
                <w:rFonts w:ascii="Aptos" w:hAnsi="Aptos"/>
                <w:b/>
              </w:rPr>
              <w:t xml:space="preserve">Conclusion. </w:t>
            </w:r>
            <w:r>
              <w:rPr>
                <w:rFonts w:ascii="Aptos" w:hAnsi="Aptos"/>
              </w:rPr>
              <w:t>C_N and B_N are positive bounded complements.</w:t>
            </w:r>
          </w:p>
          <w:p>
            <w:pPr>
              <w:spacing w:after="40"/>
            </w:pPr>
            <w:r>
              <w:rPr>
                <w:rFonts w:ascii="Aptos" w:hAnsi="Aptos"/>
                <w:b/>
              </w:rPr>
              <w:t xml:space="preserve">Proof sketch. </w:t>
            </w:r>
            <w:r>
              <w:rPr>
                <w:rFonts w:ascii="Aptos" w:hAnsi="Aptos"/>
              </w:rPr>
              <w:t>Functional calculus for positive operators.</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A5. Exact neutral elimination</w:t>
            </w:r>
          </w:p>
          <w:p>
            <w:pPr>
              <w:spacing w:after="40"/>
            </w:pPr>
            <w:r>
              <w:rPr>
                <w:rFonts w:ascii="Aptos" w:hAnsi="Aptos"/>
                <w:b/>
              </w:rPr>
              <w:t xml:space="preserve">Assumptions. </w:t>
            </w:r>
            <w:r>
              <w:rPr>
                <w:rFonts w:ascii="Aptos" w:hAnsi="Aptos"/>
              </w:rPr>
              <w:t>Quadratic neutral functional.</w:t>
            </w:r>
          </w:p>
          <w:p>
            <w:pPr>
              <w:spacing w:after="40"/>
            </w:pPr>
            <w:r>
              <w:rPr>
                <w:rFonts w:ascii="Aptos" w:hAnsi="Aptos"/>
                <w:b/>
              </w:rPr>
              <w:t xml:space="preserve">Conclusion. </w:t>
            </w:r>
            <w:r>
              <w:rPr>
                <w:rFonts w:ascii="Aptos" w:hAnsi="Aptos"/>
              </w:rPr>
              <w:t>𝒜_C^min=½⟨D,C_ND⟩.</w:t>
            </w:r>
          </w:p>
          <w:p>
            <w:pPr>
              <w:spacing w:after="40"/>
            </w:pPr>
            <w:r>
              <w:rPr>
                <w:rFonts w:ascii="Aptos" w:hAnsi="Aptos"/>
                <w:b/>
              </w:rPr>
              <w:t xml:space="preserve">Proof sketch. </w:t>
            </w:r>
            <w:r>
              <w:rPr>
                <w:rFonts w:ascii="Aptos" w:hAnsi="Aptos"/>
              </w:rPr>
              <w:t>Stationary substitution.</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A6. Retained/complement partition</w:t>
            </w:r>
          </w:p>
          <w:p>
            <w:pPr>
              <w:spacing w:after="40"/>
            </w:pPr>
            <w:r>
              <w:rPr>
                <w:rFonts w:ascii="Aptos" w:hAnsi="Aptos"/>
                <w:b/>
              </w:rPr>
              <w:t xml:space="preserve">Assumptions. </w:t>
            </w:r>
            <w:r>
              <w:rPr>
                <w:rFonts w:ascii="Aptos" w:hAnsi="Aptos"/>
              </w:rPr>
              <w:t>C_N+B_N=I.</w:t>
            </w:r>
          </w:p>
          <w:p>
            <w:pPr>
              <w:spacing w:after="40"/>
            </w:pPr>
            <w:r>
              <w:rPr>
                <w:rFonts w:ascii="Aptos" w:hAnsi="Aptos"/>
                <w:b/>
              </w:rPr>
              <w:t xml:space="preserve">Conclusion. </w:t>
            </w:r>
            <w:r>
              <w:rPr>
                <w:rFonts w:ascii="Aptos" w:hAnsi="Aptos"/>
              </w:rPr>
              <w:t>½‖D‖² splits exactly into retained and complementary quadratic parts.</w:t>
            </w:r>
          </w:p>
          <w:p>
            <w:pPr>
              <w:spacing w:after="40"/>
            </w:pPr>
            <w:r>
              <w:rPr>
                <w:rFonts w:ascii="Aptos" w:hAnsi="Aptos"/>
                <w:b/>
              </w:rPr>
              <w:t xml:space="preserve">Proof sketch. </w:t>
            </w:r>
            <w:r>
              <w:rPr>
                <w:rFonts w:ascii="Aptos" w:hAnsi="Aptos"/>
              </w:rPr>
              <w:t>Take the expectation of the operator identity.</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A7. Positive sector partition</w:t>
            </w:r>
          </w:p>
          <w:p>
            <w:pPr>
              <w:spacing w:after="40"/>
            </w:pPr>
            <w:r>
              <w:rPr>
                <w:rFonts w:ascii="Aptos" w:hAnsi="Aptos"/>
                <w:b/>
              </w:rPr>
              <w:t xml:space="preserve">Assumptions. </w:t>
            </w:r>
            <w:r>
              <w:rPr>
                <w:rFonts w:ascii="Aptos" w:hAnsi="Aptos"/>
              </w:rPr>
              <w:t>Orthogonal resolution ΣP_a=I.</w:t>
            </w:r>
          </w:p>
          <w:p>
            <w:pPr>
              <w:spacing w:after="40"/>
            </w:pPr>
            <w:r>
              <w:rPr>
                <w:rFonts w:ascii="Aptos" w:hAnsi="Aptos"/>
                <w:b/>
              </w:rPr>
              <w:t xml:space="preserve">Conclusion. </w:t>
            </w:r>
            <w:r>
              <w:rPr>
                <w:rFonts w:ascii="Aptos" w:hAnsi="Aptos"/>
              </w:rPr>
              <w:t>ℬ_a≥0 and Σℬ_a=B_N.</w:t>
            </w:r>
          </w:p>
          <w:p>
            <w:pPr>
              <w:spacing w:after="40"/>
            </w:pPr>
            <w:r>
              <w:rPr>
                <w:rFonts w:ascii="Aptos" w:hAnsi="Aptos"/>
                <w:b/>
              </w:rPr>
              <w:t xml:space="preserve">Proof sketch. </w:t>
            </w:r>
            <w:r>
              <w:rPr>
                <w:rFonts w:ascii="Aptos" w:hAnsi="Aptos"/>
              </w:rPr>
              <w:t>Square-root factorization.</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A8. Bounded persistence</w:t>
            </w:r>
          </w:p>
          <w:p>
            <w:pPr>
              <w:spacing w:after="40"/>
            </w:pPr>
            <w:r>
              <w:rPr>
                <w:rFonts w:ascii="Aptos" w:hAnsi="Aptos"/>
                <w:b/>
              </w:rPr>
              <w:t xml:space="preserve">Assumptions. </w:t>
            </w:r>
            <w:r>
              <w:rPr>
                <w:rFonts w:ascii="Aptos" w:hAnsi="Aptos"/>
              </w:rPr>
              <w:t>One invariant center direction and stable complement.</w:t>
            </w:r>
          </w:p>
          <w:p>
            <w:pPr>
              <w:spacing w:after="40"/>
            </w:pPr>
            <w:r>
              <w:rPr>
                <w:rFonts w:ascii="Aptos" w:hAnsi="Aptos"/>
                <w:b/>
              </w:rPr>
              <w:t xml:space="preserve">Conclusion. </w:t>
            </w:r>
            <w:r>
              <w:rPr>
                <w:rFonts w:ascii="Aptos" w:hAnsi="Aptos"/>
              </w:rPr>
              <w:t>All iterates are power bounded.</w:t>
            </w:r>
          </w:p>
          <w:p>
            <w:pPr>
              <w:spacing w:after="40"/>
            </w:pPr>
            <w:r>
              <w:rPr>
                <w:rFonts w:ascii="Aptos" w:hAnsi="Aptos"/>
                <w:b/>
              </w:rPr>
              <w:t xml:space="preserve">Proof sketch. </w:t>
            </w:r>
            <w:r>
              <w:rPr>
                <w:rFonts w:ascii="Aptos" w:hAnsi="Aptos"/>
              </w:rPr>
              <w:t>Submultiplicativity in Lyapunov norm.</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A9. Lorentz inertia</w:t>
            </w:r>
          </w:p>
          <w:p>
            <w:pPr>
              <w:spacing w:after="40"/>
            </w:pPr>
            <w:r>
              <w:rPr>
                <w:rFonts w:ascii="Aptos" w:hAnsi="Aptos"/>
                <w:b/>
              </w:rPr>
              <w:t xml:space="preserve">Assumptions. </w:t>
            </w:r>
            <w:r>
              <w:rPr>
                <w:rFonts w:ascii="Aptos" w:hAnsi="Aptos"/>
              </w:rPr>
              <w:t>rank P_T=1, H_C&gt;0 on four real dimensions.</w:t>
            </w:r>
          </w:p>
          <w:p>
            <w:pPr>
              <w:spacing w:after="40"/>
            </w:pPr>
            <w:r>
              <w:rPr>
                <w:rFonts w:ascii="Aptos" w:hAnsi="Aptos"/>
                <w:b/>
              </w:rPr>
              <w:t xml:space="preserve">Conclusion. </w:t>
            </w:r>
            <w:r>
              <w:rPr>
                <w:rFonts w:ascii="Aptos" w:hAnsi="Aptos"/>
              </w:rPr>
              <w:t>G_L has 1+3 inertia.</w:t>
            </w:r>
          </w:p>
          <w:p>
            <w:pPr>
              <w:spacing w:after="40"/>
            </w:pPr>
            <w:r>
              <w:rPr>
                <w:rFonts w:ascii="Aptos" w:hAnsi="Aptos"/>
                <w:b/>
              </w:rPr>
              <w:t xml:space="preserve">Proof sketch. </w:t>
            </w:r>
            <w:r>
              <w:rPr>
                <w:rFonts w:ascii="Aptos" w:hAnsi="Aptos"/>
              </w:rPr>
              <w:t>Sylvester congruence invariance [5].</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Conditional theorem: A10. Minimal carrier</w:t>
            </w:r>
          </w:p>
          <w:p>
            <w:pPr>
              <w:spacing w:after="40"/>
            </w:pPr>
            <w:r>
              <w:rPr>
                <w:rFonts w:ascii="Aptos" w:hAnsi="Aptos"/>
                <w:b/>
              </w:rPr>
              <w:t xml:space="preserve">Assumptions. </w:t>
            </w:r>
            <w:r>
              <w:rPr>
                <w:rFonts w:ascii="Aptos" w:hAnsi="Aptos"/>
              </w:rPr>
              <w:t>Determinant-based quadratic causality and non-Abelian complex carrier.</w:t>
            </w:r>
          </w:p>
          <w:p>
            <w:pPr>
              <w:spacing w:after="40"/>
            </w:pPr>
            <w:r>
              <w:rPr>
                <w:rFonts w:ascii="Aptos" w:hAnsi="Aptos"/>
                <w:b/>
              </w:rPr>
              <w:t xml:space="preserve">Conclusion. </w:t>
            </w:r>
            <w:r>
              <w:rPr>
                <w:rFonts w:ascii="Aptos" w:hAnsi="Aptos"/>
              </w:rPr>
              <w:t>Minimal n is 2.</w:t>
            </w:r>
          </w:p>
          <w:p>
            <w:pPr>
              <w:spacing w:after="40"/>
            </w:pPr>
            <w:r>
              <w:rPr>
                <w:rFonts w:ascii="Aptos" w:hAnsi="Aptos"/>
                <w:b/>
              </w:rPr>
              <w:t xml:space="preserve">Proof sketch. </w:t>
            </w:r>
            <w:r>
              <w:rPr>
                <w:rFonts w:ascii="Aptos" w:hAnsi="Aptos"/>
              </w:rPr>
              <w:t>The determinant degree equals n; quadratic degree fixes n=2.</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A11. Resolvent derivative</w:t>
            </w:r>
          </w:p>
          <w:p>
            <w:pPr>
              <w:spacing w:after="40"/>
            </w:pPr>
            <w:r>
              <w:rPr>
                <w:rFonts w:ascii="Aptos" w:hAnsi="Aptos"/>
                <w:b/>
              </w:rPr>
              <w:t xml:space="preserve">Assumptions. </w:t>
            </w:r>
            <w:r>
              <w:rPr>
                <w:rFonts w:ascii="Aptos" w:hAnsi="Aptos"/>
              </w:rPr>
              <w:t>C=(I+Y)⁻¹ differentiable in qᴬ.</w:t>
            </w:r>
          </w:p>
          <w:p>
            <w:pPr>
              <w:spacing w:after="40"/>
            </w:pPr>
            <w:r>
              <w:rPr>
                <w:rFonts w:ascii="Aptos" w:hAnsi="Aptos"/>
                <w:b/>
              </w:rPr>
              <w:t xml:space="preserve">Conclusion. </w:t>
            </w:r>
            <w:r>
              <w:rPr>
                <w:rFonts w:ascii="Aptos" w:hAnsi="Aptos"/>
              </w:rPr>
              <w:t>∂_AC=−CY_,AC.</w:t>
            </w:r>
          </w:p>
          <w:p>
            <w:pPr>
              <w:spacing w:after="40"/>
            </w:pPr>
            <w:r>
              <w:rPr>
                <w:rFonts w:ascii="Aptos" w:hAnsi="Aptos"/>
                <w:b/>
              </w:rPr>
              <w:t xml:space="preserve">Proof sketch. </w:t>
            </w:r>
            <w:r>
              <w:rPr>
                <w:rFonts w:ascii="Aptos" w:hAnsi="Aptos"/>
              </w:rPr>
              <w:t>Differentiate C(I+Y)=I.</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A12. Second resolvent derivative</w:t>
            </w:r>
          </w:p>
          <w:p>
            <w:pPr>
              <w:spacing w:after="40"/>
            </w:pPr>
            <w:r>
              <w:rPr>
                <w:rFonts w:ascii="Aptos" w:hAnsi="Aptos"/>
                <w:b/>
              </w:rPr>
              <w:t xml:space="preserve">Assumptions. </w:t>
            </w:r>
            <w:r>
              <w:rPr>
                <w:rFonts w:ascii="Aptos" w:hAnsi="Aptos"/>
              </w:rPr>
              <w:t>Twice differentiable Y(q).</w:t>
            </w:r>
          </w:p>
          <w:p>
            <w:pPr>
              <w:spacing w:after="40"/>
            </w:pPr>
            <w:r>
              <w:rPr>
                <w:rFonts w:ascii="Aptos" w:hAnsi="Aptos"/>
                <w:b/>
              </w:rPr>
              <w:t xml:space="preserve">Conclusion. </w:t>
            </w:r>
            <w:r>
              <w:rPr>
                <w:rFonts w:ascii="Aptos" w:hAnsi="Aptos"/>
              </w:rPr>
              <w:t>Equation for C_,AB in Section 10.</w:t>
            </w:r>
          </w:p>
          <w:p>
            <w:pPr>
              <w:spacing w:after="40"/>
            </w:pPr>
            <w:r>
              <w:rPr>
                <w:rFonts w:ascii="Aptos" w:hAnsi="Aptos"/>
                <w:b/>
              </w:rPr>
              <w:t xml:space="preserve">Proof sketch. </w:t>
            </w:r>
            <w:r>
              <w:rPr>
                <w:rFonts w:ascii="Aptos" w:hAnsi="Aptos"/>
              </w:rPr>
              <w:t>Differentiate A11 and apply the product rule.</w:t>
            </w:r>
          </w:p>
        </w:tc>
      </w:tr>
    </w:tbl>
    <w:tbl>
      <w:tblPr>
        <w:tblW w:type="auto" w:w="0"/>
        <w:jc w:val="center"/>
        <w:tblLook w:firstColumn="1" w:firstRow="1" w:lastColumn="0" w:lastRow="0" w:noHBand="0" w:noVBand="1" w:val="04A0"/>
      </w:tblPr>
      <w:tblGrid>
        <w:gridCol w:w="9878"/>
      </w:tblGrid>
      <w:tr>
        <w:trPr>
          <w:cantSplit/>
          <w:cantSplit/>
        </w:trPr>
        <w:tc>
          <w:tcPr>
            <w:tcW w:type="dxa" w:w="9878"/>
            <w:shd w:fill="FFF2CC"/>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Conditional theorem: A13. Common-cone branch</w:t>
            </w:r>
          </w:p>
          <w:p>
            <w:pPr>
              <w:spacing w:after="40"/>
            </w:pPr>
            <w:r>
              <w:rPr>
                <w:rFonts w:ascii="Aptos" w:hAnsi="Aptos"/>
                <w:b/>
              </w:rPr>
              <w:t xml:space="preserve">Assumptions. </w:t>
            </w:r>
            <w:r>
              <w:rPr>
                <w:rFonts w:ascii="Aptos" w:hAnsi="Aptos"/>
              </w:rPr>
              <w:t>Single metric, positive internal stiffness, no extra spacetime rank-two tensor.</w:t>
            </w:r>
          </w:p>
          <w:p>
            <w:pPr>
              <w:spacing w:after="40"/>
            </w:pPr>
            <w:r>
              <w:rPr>
                <w:rFonts w:ascii="Aptos" w:hAnsi="Aptos"/>
                <w:b/>
              </w:rPr>
              <w:t xml:space="preserve">Conclusion. </w:t>
            </w:r>
            <w:r>
              <w:rPr>
                <w:rFonts w:ascii="Aptos" w:hAnsi="Aptos"/>
              </w:rPr>
              <w:t>All minimal massless blocks share g^{μν}k_μk_ν=0.</w:t>
            </w:r>
          </w:p>
          <w:p>
            <w:pPr>
              <w:spacing w:after="40"/>
            </w:pPr>
            <w:r>
              <w:rPr>
                <w:rFonts w:ascii="Aptos" w:hAnsi="Aptos"/>
                <w:b/>
              </w:rPr>
              <w:t xml:space="preserve">Proof sketch. </w:t>
            </w:r>
            <w:r>
              <w:rPr>
                <w:rFonts w:ascii="Aptos" w:hAnsi="Aptos"/>
              </w:rPr>
              <w:t>The spacetime principal contraction is unique under the assumptions.</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A14. Dust background</w:t>
            </w:r>
          </w:p>
          <w:p>
            <w:pPr>
              <w:spacing w:after="40"/>
            </w:pPr>
            <w:r>
              <w:rPr>
                <w:rFonts w:ascii="Aptos" w:hAnsi="Aptos"/>
                <w:b/>
              </w:rPr>
              <w:t xml:space="preserve">Assumptions. </w:t>
            </w:r>
            <w:r>
              <w:rPr>
                <w:rFonts w:ascii="Aptos" w:hAnsi="Aptos"/>
              </w:rPr>
              <w:t>Current action S_Ω.</w:t>
            </w:r>
          </w:p>
          <w:p>
            <w:pPr>
              <w:spacing w:after="40"/>
            </w:pPr>
            <w:r>
              <w:rPr>
                <w:rFonts w:ascii="Aptos" w:hAnsi="Aptos"/>
                <w:b/>
              </w:rPr>
              <w:t xml:space="preserve">Conclusion. </w:t>
            </w:r>
            <w:r>
              <w:rPr>
                <w:rFonts w:ascii="Aptos" w:hAnsi="Aptos"/>
              </w:rPr>
              <w:t>∇_μJ^μ=0, p=0, and ρ∝a⁻³ in FRW.</w:t>
            </w:r>
          </w:p>
          <w:p>
            <w:pPr>
              <w:spacing w:after="40"/>
            </w:pPr>
            <w:r>
              <w:rPr>
                <w:rFonts w:ascii="Aptos" w:hAnsi="Aptos"/>
                <w:b/>
              </w:rPr>
              <w:t xml:space="preserve">Proof sketch. </w:t>
            </w:r>
            <w:r>
              <w:rPr>
                <w:rFonts w:ascii="Aptos" w:hAnsi="Aptos"/>
              </w:rPr>
              <w:t>Euler-Lagrange equations plus FRW current conservation.</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A15. Galactic variational law</w:t>
            </w:r>
          </w:p>
          <w:p>
            <w:pPr>
              <w:spacing w:after="40"/>
            </w:pPr>
            <w:r>
              <w:rPr>
                <w:rFonts w:ascii="Aptos" w:hAnsi="Aptos"/>
                <w:b/>
              </w:rPr>
              <w:t xml:space="preserve">Assumptions. </w:t>
            </w:r>
            <w:r>
              <w:rPr>
                <w:rFonts w:ascii="Aptos" w:hAnsi="Aptos"/>
              </w:rPr>
              <w:t>𝓕_N′=√[X/(1+X)].</w:t>
            </w:r>
          </w:p>
          <w:p>
            <w:pPr>
              <w:spacing w:after="40"/>
            </w:pPr>
            <w:r>
              <w:rPr>
                <w:rFonts w:ascii="Aptos" w:hAnsi="Aptos"/>
                <w:b/>
              </w:rPr>
              <w:t xml:space="preserve">Conclusion. </w:t>
            </w:r>
            <w:r>
              <w:rPr>
                <w:rFonts w:ascii="Aptos" w:hAnsi="Aptos"/>
              </w:rPr>
              <w:t>Variation yields ∇·(μ∇Ψ)=4πGρ.</w:t>
            </w:r>
          </w:p>
          <w:p>
            <w:pPr>
              <w:spacing w:after="40"/>
            </w:pPr>
            <w:r>
              <w:rPr>
                <w:rFonts w:ascii="Aptos" w:hAnsi="Aptos"/>
                <w:b/>
              </w:rPr>
              <w:t xml:space="preserve">Proof sketch. </w:t>
            </w:r>
            <w:r>
              <w:rPr>
                <w:rFonts w:ascii="Aptos" w:hAnsi="Aptos"/>
              </w:rPr>
              <w:t>Integrate by parts after varying X=|∇Ψ|²/a_Q².</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A16. Terminal EoS</w:t>
            </w:r>
          </w:p>
          <w:p>
            <w:pPr>
              <w:spacing w:after="40"/>
            </w:pPr>
            <w:r>
              <w:rPr>
                <w:rFonts w:ascii="Aptos" w:hAnsi="Aptos"/>
                <w:b/>
              </w:rPr>
              <w:t xml:space="preserve">Assumptions. </w:t>
            </w:r>
            <w:r>
              <w:rPr>
                <w:rFonts w:ascii="Aptos" w:hAnsi="Aptos"/>
              </w:rPr>
              <w:t>ρ=E/V and p=−dE/dV.</w:t>
            </w:r>
          </w:p>
          <w:p>
            <w:pPr>
              <w:spacing w:after="40"/>
            </w:pPr>
            <w:r>
              <w:rPr>
                <w:rFonts w:ascii="Aptos" w:hAnsi="Aptos"/>
                <w:b/>
              </w:rPr>
              <w:t xml:space="preserve">Conclusion. </w:t>
            </w:r>
            <w:r>
              <w:rPr>
                <w:rFonts w:ascii="Aptos" w:hAnsi="Aptos"/>
              </w:rPr>
              <w:t>w=−d lnE/d lnV.</w:t>
            </w:r>
          </w:p>
          <w:p>
            <w:pPr>
              <w:spacing w:after="40"/>
            </w:pPr>
            <w:r>
              <w:rPr>
                <w:rFonts w:ascii="Aptos" w:hAnsi="Aptos"/>
                <w:b/>
              </w:rPr>
              <w:t xml:space="preserve">Proof sketch. </w:t>
            </w:r>
            <w:r>
              <w:rPr>
                <w:rFonts w:ascii="Aptos" w:hAnsi="Aptos"/>
              </w:rPr>
              <w:t>Direct substitution.</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A17. Local regular core</w:t>
            </w:r>
          </w:p>
          <w:p>
            <w:pPr>
              <w:spacing w:after="40"/>
            </w:pPr>
            <w:r>
              <w:rPr>
                <w:rFonts w:ascii="Aptos" w:hAnsi="Aptos"/>
                <w:b/>
              </w:rPr>
              <w:t xml:space="preserve">Assumptions. </w:t>
            </w:r>
            <w:r>
              <w:rPr>
                <w:rFonts w:ascii="Aptos" w:hAnsi="Aptos"/>
              </w:rPr>
              <w:t>Finite isotropic central density and smooth spherical branch.</w:t>
            </w:r>
          </w:p>
          <w:p>
            <w:pPr>
              <w:spacing w:after="40"/>
            </w:pPr>
            <w:r>
              <w:rPr>
                <w:rFonts w:ascii="Aptos" w:hAnsi="Aptos"/>
                <w:b/>
              </w:rPr>
              <w:t xml:space="preserve">Conclusion. </w:t>
            </w:r>
            <w:r>
              <w:rPr>
                <w:rFonts w:ascii="Aptos" w:hAnsi="Aptos"/>
              </w:rPr>
              <w:t>f(r)=1−αr²+O(r⁴) and K(0)&lt;∞.</w:t>
            </w:r>
          </w:p>
          <w:p>
            <w:pPr>
              <w:spacing w:after="40"/>
            </w:pPr>
            <w:r>
              <w:rPr>
                <w:rFonts w:ascii="Aptos" w:hAnsi="Aptos"/>
                <w:b/>
              </w:rPr>
              <w:t xml:space="preserve">Proof sketch. </w:t>
            </w:r>
            <w:r>
              <w:rPr>
                <w:rFonts w:ascii="Aptos" w:hAnsi="Aptos"/>
              </w:rPr>
              <w:t>Integrate m(r) and expand the metric function.</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A18. Formation robustness</w:t>
            </w:r>
          </w:p>
          <w:p>
            <w:pPr>
              <w:spacing w:after="40"/>
            </w:pPr>
            <w:r>
              <w:rPr>
                <w:rFonts w:ascii="Aptos" w:hAnsi="Aptos"/>
                <w:b/>
              </w:rPr>
              <w:t xml:space="preserve">Assumptions. </w:t>
            </w:r>
            <w:r>
              <w:rPr>
                <w:rFonts w:ascii="Aptos" w:hAnsi="Aptos"/>
              </w:rPr>
              <w:t>Self-adjoint E_K within the spectral margin.</w:t>
            </w:r>
          </w:p>
          <w:p>
            <w:pPr>
              <w:spacing w:after="40"/>
            </w:pPr>
            <w:r>
              <w:rPr>
                <w:rFonts w:ascii="Aptos" w:hAnsi="Aptos"/>
                <w:b/>
              </w:rPr>
              <w:t xml:space="preserve">Conclusion. </w:t>
            </w:r>
            <w:r>
              <w:rPr>
                <w:rFonts w:ascii="Aptos" w:hAnsi="Aptos"/>
              </w:rPr>
              <w:t>Negative simple lowest eigenvalue survives.</w:t>
            </w:r>
          </w:p>
          <w:p>
            <w:pPr>
              <w:spacing w:after="40"/>
            </w:pPr>
            <w:r>
              <w:rPr>
                <w:rFonts w:ascii="Aptos" w:hAnsi="Aptos"/>
                <w:b/>
              </w:rPr>
              <w:t xml:space="preserve">Proof sketch. </w:t>
            </w:r>
            <w:r>
              <w:rPr>
                <w:rFonts w:ascii="Aptos" w:hAnsi="Aptos"/>
              </w:rPr>
              <w:t>Weyl and Davis-Kahan bounds [3,4].</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A19. Soldering stability</w:t>
            </w:r>
          </w:p>
          <w:p>
            <w:pPr>
              <w:spacing w:after="40"/>
            </w:pPr>
            <w:r>
              <w:rPr>
                <w:rFonts w:ascii="Aptos" w:hAnsi="Aptos"/>
                <w:b/>
              </w:rPr>
              <w:t xml:space="preserve">Assumptions. </w:t>
            </w:r>
            <w:r>
              <w:rPr>
                <w:rFonts w:ascii="Aptos" w:hAnsi="Aptos"/>
              </w:rPr>
              <w:t>‖E_S‖&lt;σ_min(S).</w:t>
            </w:r>
          </w:p>
          <w:p>
            <w:pPr>
              <w:spacing w:after="40"/>
            </w:pPr>
            <w:r>
              <w:rPr>
                <w:rFonts w:ascii="Aptos" w:hAnsi="Aptos"/>
                <w:b/>
              </w:rPr>
              <w:t xml:space="preserve">Conclusion. </w:t>
            </w:r>
            <w:r>
              <w:rPr>
                <w:rFonts w:ascii="Aptos" w:hAnsi="Aptos"/>
              </w:rPr>
              <w:t>S+E_S remains invertible.</w:t>
            </w:r>
          </w:p>
          <w:p>
            <w:pPr>
              <w:spacing w:after="40"/>
            </w:pPr>
            <w:r>
              <w:rPr>
                <w:rFonts w:ascii="Aptos" w:hAnsi="Aptos"/>
                <w:b/>
              </w:rPr>
              <w:t xml:space="preserve">Proof sketch. </w:t>
            </w:r>
            <w:r>
              <w:rPr>
                <w:rFonts w:ascii="Aptos" w:hAnsi="Aptos"/>
              </w:rPr>
              <w:t>Lower singular-value perturbation bound.</w:t>
            </w:r>
          </w:p>
        </w:tc>
      </w:tr>
    </w:tbl>
    <w:tbl>
      <w:tblPr>
        <w:tblW w:type="auto" w:w="0"/>
        <w:jc w:val="center"/>
        <w:tblLook w:firstColumn="1" w:firstRow="1" w:lastColumn="0" w:lastRow="0" w:noHBand="0" w:noVBand="1" w:val="04A0"/>
      </w:tblPr>
      <w:tblGrid>
        <w:gridCol w:w="9878"/>
      </w:tblGrid>
      <w:tr>
        <w:trPr>
          <w:cantSplit/>
          <w:cantSplit/>
        </w:trPr>
        <w:tc>
          <w:tcPr>
            <w:tcW w:type="dxa" w:w="9878"/>
            <w:shd w:fill="DDEBF7"/>
            <w:tcBorders>
              <w:top w:val="single" w:sz="5" w:color="9FBAD0"/>
              <w:left w:val="single" w:sz="5" w:color="9FBAD0"/>
              <w:bottom w:val="single" w:sz="5" w:color="9FBAD0"/>
              <w:right w:val="single" w:sz="5" w:color="9FBAD0"/>
            </w:tcBorders>
            <w:tcMar>
              <w:top w:w="95" w:type="dxa"/>
              <w:start w:w="110" w:type="dxa"/>
              <w:bottom w:w="95" w:type="dxa"/>
              <w:end w:w="110" w:type="dxa"/>
            </w:tcMar>
            <w:vAlign w:val="center"/>
          </w:tcPr>
          <w:p>
            <w:pPr>
              <w:spacing w:after="60"/>
            </w:pPr>
            <w:r>
              <w:rPr>
                <w:rFonts w:ascii="Aptos" w:hAnsi="Aptos"/>
                <w:b/>
                <w:color w:val="1F4E79"/>
              </w:rPr>
              <w:t>Theorem: A20. Finite threshold termination</w:t>
            </w:r>
          </w:p>
          <w:p>
            <w:pPr>
              <w:spacing w:after="40"/>
            </w:pPr>
            <w:r>
              <w:rPr>
                <w:rFonts w:ascii="Aptos" w:hAnsi="Aptos"/>
                <w:b/>
              </w:rPr>
              <w:t xml:space="preserve">Assumptions. </w:t>
            </w:r>
            <w:r>
              <w:rPr>
                <w:rFonts w:ascii="Aptos" w:hAnsi="Aptos"/>
              </w:rPr>
              <w:t>Recursive contraction basin and z_c&gt;0.</w:t>
            </w:r>
          </w:p>
          <w:p>
            <w:pPr>
              <w:spacing w:after="40"/>
            </w:pPr>
            <w:r>
              <w:rPr>
                <w:rFonts w:ascii="Aptos" w:hAnsi="Aptos"/>
                <w:b/>
              </w:rPr>
              <w:t xml:space="preserve">Conclusion. </w:t>
            </w:r>
            <w:r>
              <w:rPr>
                <w:rFonts w:ascii="Aptos" w:hAnsi="Aptos"/>
              </w:rPr>
              <w:t>The threshold is crossed after finitely many iterations.</w:t>
            </w:r>
          </w:p>
          <w:p>
            <w:pPr>
              <w:spacing w:after="40"/>
            </w:pPr>
            <w:r>
              <w:rPr>
                <w:rFonts w:ascii="Aptos" w:hAnsi="Aptos"/>
                <w:b/>
              </w:rPr>
              <w:t xml:space="preserve">Proof sketch. </w:t>
            </w:r>
            <w:r>
              <w:rPr>
                <w:rFonts w:ascii="Aptos" w:hAnsi="Aptos"/>
              </w:rPr>
              <w:t>Geometric upper bound tends to zero.</w:t>
            </w:r>
          </w:p>
        </w:tc>
      </w:tr>
    </w:tbl>
    <w:p>
      <w:pPr>
        <w:pStyle w:val="Heading1"/>
        <w:keepNext/>
        <w:keepLines/>
      </w:pPr>
      <w:r>
        <w:t>Appendix B. Core Symbol Table</w:t>
      </w:r>
    </w:p>
    <w:tbl>
      <w:tblPr>
        <w:tblStyle w:val="TableGrid"/>
        <w:tblW w:type="auto" w:w="0"/>
        <w:jc w:val="center"/>
        <w:tblLook w:firstColumn="1" w:firstRow="1" w:lastColumn="0" w:lastRow="0" w:noHBand="0" w:noVBand="1" w:val="04A0"/>
      </w:tblPr>
      <w:tblGrid>
        <w:gridCol w:w="4939"/>
        <w:gridCol w:w="4939"/>
      </w:tblGrid>
      <w:tr>
        <w:trPr>
          <w:tblHeader w:val="true"/>
          <w:cantSplit/>
          <w:cantSplit/>
        </w:trPr>
        <w:tc>
          <w:tcPr>
            <w:tcW w:type="dxa" w:w="2160"/>
            <w:shd w:fill="D9EAF7"/>
            <w:vAlign w:val="center"/>
          </w:tcPr>
          <w:p>
            <w:pPr>
              <w:spacing w:after="0"/>
            </w:pPr>
            <w:r>
              <w:rPr>
                <w:rFonts w:ascii="Aptos" w:hAnsi="Aptos"/>
                <w:b/>
                <w:sz w:val="16"/>
              </w:rPr>
              <w:t>Symbol</w:t>
            </w:r>
          </w:p>
        </w:tc>
        <w:tc>
          <w:tcPr>
            <w:tcW w:type="dxa" w:w="7920"/>
            <w:shd w:fill="D9EAF7"/>
            <w:vAlign w:val="center"/>
          </w:tcPr>
          <w:p>
            <w:pPr>
              <w:spacing w:after="0"/>
            </w:pPr>
            <w:r>
              <w:rPr>
                <w:rFonts w:ascii="Aptos" w:hAnsi="Aptos"/>
                <w:b/>
                <w:sz w:val="16"/>
              </w:rPr>
              <w:t>Meaning</w:t>
            </w:r>
          </w:p>
        </w:tc>
      </w:tr>
      <w:tr>
        <w:trPr>
          <w:cantSplit/>
          <w:cantSplit/>
        </w:trPr>
        <w:tc>
          <w:tcPr>
            <w:tcW w:type="dxa" w:w="2160"/>
            <w:vAlign w:val="center"/>
          </w:tcPr>
          <w:p>
            <w:pPr>
              <w:spacing w:after="0"/>
            </w:pPr>
            <w:r>
              <w:rPr>
                <w:rFonts w:ascii="Aptos" w:hAnsi="Aptos"/>
                <w:sz w:val="16"/>
              </w:rPr>
              <w:t>𝒯₀</w:t>
            </w:r>
          </w:p>
        </w:tc>
        <w:tc>
          <w:tcPr>
            <w:tcW w:type="dxa" w:w="7920"/>
            <w:vAlign w:val="center"/>
          </w:tcPr>
          <w:p>
            <w:pPr>
              <w:spacing w:after="0"/>
            </w:pPr>
            <w:r>
              <w:rPr>
                <w:rFonts w:ascii="Aptos" w:hAnsi="Aptos"/>
                <w:sz w:val="16"/>
              </w:rPr>
              <w:t>Pre-polar trinitarian Level-0 structure</w:t>
            </w:r>
          </w:p>
        </w:tc>
      </w:tr>
      <w:tr>
        <w:trPr>
          <w:cantSplit/>
          <w:cantSplit/>
        </w:trPr>
        <w:tc>
          <w:tcPr>
            <w:tcW w:type="dxa" w:w="2160"/>
            <w:vAlign w:val="center"/>
          </w:tcPr>
          <w:p>
            <w:pPr>
              <w:spacing w:after="0"/>
            </w:pPr>
            <w:r>
              <w:rPr>
                <w:rFonts w:ascii="Aptos" w:hAnsi="Aptos"/>
                <w:sz w:val="16"/>
              </w:rPr>
              <w:t>𝔇₀</w:t>
            </w:r>
          </w:p>
        </w:tc>
        <w:tc>
          <w:tcPr>
            <w:tcW w:type="dxa" w:w="7920"/>
            <w:vAlign w:val="center"/>
          </w:tcPr>
          <w:p>
            <w:pPr>
              <w:spacing w:after="0"/>
            </w:pPr>
            <w:r>
              <w:rPr>
                <w:rFonts w:ascii="Aptos" w:hAnsi="Aptos"/>
                <w:sz w:val="16"/>
              </w:rPr>
              <w:t>Difference capacity</w:t>
            </w:r>
          </w:p>
        </w:tc>
      </w:tr>
      <w:tr>
        <w:trPr>
          <w:cantSplit/>
          <w:cantSplit/>
        </w:trPr>
        <w:tc>
          <w:tcPr>
            <w:tcW w:type="dxa" w:w="2160"/>
            <w:vAlign w:val="center"/>
          </w:tcPr>
          <w:p>
            <w:pPr>
              <w:spacing w:after="0"/>
            </w:pPr>
            <w:r>
              <w:rPr>
                <w:rFonts w:ascii="Aptos" w:hAnsi="Aptos"/>
                <w:sz w:val="16"/>
              </w:rPr>
              <w:t>𝔠₀</w:t>
            </w:r>
          </w:p>
        </w:tc>
        <w:tc>
          <w:tcPr>
            <w:tcW w:type="dxa" w:w="7920"/>
            <w:vAlign w:val="center"/>
          </w:tcPr>
          <w:p>
            <w:pPr>
              <w:spacing w:after="0"/>
            </w:pPr>
            <w:r>
              <w:rPr>
                <w:rFonts w:ascii="Aptos" w:hAnsi="Aptos"/>
                <w:sz w:val="16"/>
              </w:rPr>
              <w:t>Coherence capacity</w:t>
            </w:r>
          </w:p>
        </w:tc>
      </w:tr>
      <w:tr>
        <w:trPr>
          <w:cantSplit/>
          <w:cantSplit/>
        </w:trPr>
        <w:tc>
          <w:tcPr>
            <w:tcW w:type="dxa" w:w="2160"/>
            <w:vAlign w:val="center"/>
          </w:tcPr>
          <w:p>
            <w:pPr>
              <w:spacing w:after="0"/>
            </w:pPr>
            <w:r>
              <w:rPr>
                <w:rFonts w:ascii="Aptos" w:hAnsi="Aptos"/>
                <w:sz w:val="16"/>
              </w:rPr>
              <w:t>ℵ₀</w:t>
            </w:r>
          </w:p>
        </w:tc>
        <w:tc>
          <w:tcPr>
            <w:tcW w:type="dxa" w:w="7920"/>
            <w:vAlign w:val="center"/>
          </w:tcPr>
          <w:p>
            <w:pPr>
              <w:spacing w:after="0"/>
            </w:pPr>
            <w:r>
              <w:rPr>
                <w:rFonts w:ascii="Aptos" w:hAnsi="Aptos"/>
                <w:sz w:val="16"/>
              </w:rPr>
              <w:t>Neutral admissibility</w:t>
            </w:r>
          </w:p>
        </w:tc>
      </w:tr>
      <w:tr>
        <w:trPr>
          <w:cantSplit/>
          <w:cantSplit/>
        </w:trPr>
        <w:tc>
          <w:tcPr>
            <w:tcW w:type="dxa" w:w="2160"/>
            <w:vAlign w:val="center"/>
          </w:tcPr>
          <w:p>
            <w:pPr>
              <w:spacing w:after="0"/>
            </w:pPr>
            <w:r>
              <w:rPr>
                <w:rFonts w:ascii="Aptos" w:hAnsi="Aptos"/>
                <w:sz w:val="16"/>
              </w:rPr>
              <w:t>K₀</w:t>
            </w:r>
          </w:p>
        </w:tc>
        <w:tc>
          <w:tcPr>
            <w:tcW w:type="dxa" w:w="7920"/>
            <w:vAlign w:val="center"/>
          </w:tcPr>
          <w:p>
            <w:pPr>
              <w:spacing w:after="0"/>
            </w:pPr>
            <w:r>
              <w:rPr>
                <w:rFonts w:ascii="Aptos" w:hAnsi="Aptos"/>
                <w:sz w:val="16"/>
              </w:rPr>
              <w:t>Level-0 real-symmetric balance operator</w:t>
            </w:r>
          </w:p>
        </w:tc>
      </w:tr>
      <w:tr>
        <w:trPr>
          <w:cantSplit/>
          <w:cantSplit/>
        </w:trPr>
        <w:tc>
          <w:tcPr>
            <w:tcW w:type="dxa" w:w="2160"/>
            <w:vAlign w:val="center"/>
          </w:tcPr>
          <w:p>
            <w:pPr>
              <w:spacing w:after="0"/>
            </w:pPr>
            <w:r>
              <w:rPr>
                <w:rFonts w:ascii="Aptos" w:hAnsi="Aptos"/>
                <w:sz w:val="16"/>
              </w:rPr>
              <w:t>δ*</w:t>
            </w:r>
          </w:p>
        </w:tc>
        <w:tc>
          <w:tcPr>
            <w:tcW w:type="dxa" w:w="7920"/>
            <w:vAlign w:val="center"/>
          </w:tcPr>
          <w:p>
            <w:pPr>
              <w:spacing w:after="0"/>
            </w:pPr>
            <w:r>
              <w:rPr>
                <w:rFonts w:ascii="Aptos" w:hAnsi="Aptos"/>
                <w:sz w:val="16"/>
              </w:rPr>
              <w:t>Admissible formed Level-0 profile</w:t>
            </w:r>
          </w:p>
        </w:tc>
      </w:tr>
      <w:tr>
        <w:trPr>
          <w:cantSplit/>
          <w:cantSplit/>
        </w:trPr>
        <w:tc>
          <w:tcPr>
            <w:tcW w:type="dxa" w:w="2160"/>
            <w:vAlign w:val="center"/>
          </w:tcPr>
          <w:p>
            <w:pPr>
              <w:spacing w:after="0"/>
            </w:pPr>
            <w:r>
              <w:rPr>
                <w:rFonts w:ascii="Aptos" w:hAnsi="Aptos"/>
                <w:sz w:val="16"/>
              </w:rPr>
              <w:t>λ₀, Δ₀</w:t>
            </w:r>
          </w:p>
        </w:tc>
        <w:tc>
          <w:tcPr>
            <w:tcW w:type="dxa" w:w="7920"/>
            <w:vAlign w:val="center"/>
          </w:tcPr>
          <w:p>
            <w:pPr>
              <w:spacing w:after="0"/>
            </w:pPr>
            <w:r>
              <w:rPr>
                <w:rFonts w:ascii="Aptos" w:hAnsi="Aptos"/>
                <w:sz w:val="16"/>
              </w:rPr>
              <w:t>Lowest formation eigenvalue and isolation gap</w:t>
            </w:r>
          </w:p>
        </w:tc>
      </w:tr>
      <w:tr>
        <w:trPr>
          <w:cantSplit/>
          <w:cantSplit/>
        </w:trPr>
        <w:tc>
          <w:tcPr>
            <w:tcW w:type="dxa" w:w="2160"/>
            <w:vAlign w:val="center"/>
          </w:tcPr>
          <w:p>
            <w:pPr>
              <w:spacing w:after="0"/>
            </w:pPr>
            <w:r>
              <w:rPr>
                <w:rFonts w:ascii="Aptos" w:hAnsi="Aptos"/>
                <w:sz w:val="16"/>
              </w:rPr>
              <w:t>H_C</w:t>
            </w:r>
          </w:p>
        </w:tc>
        <w:tc>
          <w:tcPr>
            <w:tcW w:type="dxa" w:w="7920"/>
            <w:vAlign w:val="center"/>
          </w:tcPr>
          <w:p>
            <w:pPr>
              <w:spacing w:after="0"/>
            </w:pPr>
            <w:r>
              <w:rPr>
                <w:rFonts w:ascii="Aptos" w:hAnsi="Aptos"/>
                <w:sz w:val="16"/>
              </w:rPr>
              <w:t>Positive master closure Hessian</w:t>
            </w:r>
          </w:p>
        </w:tc>
      </w:tr>
      <w:tr>
        <w:trPr>
          <w:cantSplit/>
          <w:cantSplit/>
        </w:trPr>
        <w:tc>
          <w:tcPr>
            <w:tcW w:type="dxa" w:w="2160"/>
            <w:vAlign w:val="center"/>
          </w:tcPr>
          <w:p>
            <w:pPr>
              <w:spacing w:after="0"/>
            </w:pPr>
            <w:r>
              <w:rPr>
                <w:rFonts w:ascii="Aptos" w:hAnsi="Aptos"/>
                <w:sz w:val="16"/>
              </w:rPr>
              <w:t>Y_C</w:t>
            </w:r>
          </w:p>
        </w:tc>
        <w:tc>
          <w:tcPr>
            <w:tcW w:type="dxa" w:w="7920"/>
            <w:vAlign w:val="center"/>
          </w:tcPr>
          <w:p>
            <w:pPr>
              <w:spacing w:after="0"/>
            </w:pPr>
            <w:r>
              <w:rPr>
                <w:rFonts w:ascii="Aptos" w:hAnsi="Aptos"/>
                <w:sz w:val="16"/>
              </w:rPr>
              <w:t>Positive dimensionless master load</w:t>
            </w:r>
          </w:p>
        </w:tc>
      </w:tr>
      <w:tr>
        <w:trPr>
          <w:cantSplit/>
          <w:cantSplit/>
        </w:trPr>
        <w:tc>
          <w:tcPr>
            <w:tcW w:type="dxa" w:w="2160"/>
            <w:vAlign w:val="center"/>
          </w:tcPr>
          <w:p>
            <w:pPr>
              <w:spacing w:after="0"/>
            </w:pPr>
            <w:r>
              <w:rPr>
                <w:rFonts w:ascii="Aptos" w:hAnsi="Aptos"/>
                <w:sz w:val="16"/>
              </w:rPr>
              <w:t>C_N</w:t>
            </w:r>
          </w:p>
        </w:tc>
        <w:tc>
          <w:tcPr>
            <w:tcW w:type="dxa" w:w="7920"/>
            <w:vAlign w:val="center"/>
          </w:tcPr>
          <w:p>
            <w:pPr>
              <w:spacing w:after="0"/>
            </w:pPr>
            <w:r>
              <w:rPr>
                <w:rFonts w:ascii="Aptos" w:hAnsi="Aptos"/>
                <w:sz w:val="16"/>
              </w:rPr>
              <w:t>Retained neutral response (I+Y)⁻¹</w:t>
            </w:r>
          </w:p>
        </w:tc>
      </w:tr>
      <w:tr>
        <w:trPr>
          <w:cantSplit/>
          <w:cantSplit/>
        </w:trPr>
        <w:tc>
          <w:tcPr>
            <w:tcW w:type="dxa" w:w="2160"/>
            <w:vAlign w:val="center"/>
          </w:tcPr>
          <w:p>
            <w:pPr>
              <w:spacing w:after="0"/>
            </w:pPr>
            <w:r>
              <w:rPr>
                <w:rFonts w:ascii="Aptos" w:hAnsi="Aptos"/>
                <w:sz w:val="16"/>
              </w:rPr>
              <w:t>B_N</w:t>
            </w:r>
          </w:p>
        </w:tc>
        <w:tc>
          <w:tcPr>
            <w:tcW w:type="dxa" w:w="7920"/>
            <w:vAlign w:val="center"/>
          </w:tcPr>
          <w:p>
            <w:pPr>
              <w:spacing w:after="0"/>
            </w:pPr>
            <w:r>
              <w:rPr>
                <w:rFonts w:ascii="Aptos" w:hAnsi="Aptos"/>
                <w:sz w:val="16"/>
              </w:rPr>
              <w:t>Complementary neutral response I−C_N</w:t>
            </w:r>
          </w:p>
        </w:tc>
      </w:tr>
      <w:tr>
        <w:trPr>
          <w:cantSplit/>
          <w:cantSplit/>
        </w:trPr>
        <w:tc>
          <w:tcPr>
            <w:tcW w:type="dxa" w:w="2160"/>
            <w:vAlign w:val="center"/>
          </w:tcPr>
          <w:p>
            <w:pPr>
              <w:spacing w:after="0"/>
            </w:pPr>
            <w:r>
              <w:rPr>
                <w:rFonts w:ascii="Aptos" w:hAnsi="Aptos"/>
                <w:sz w:val="16"/>
              </w:rPr>
              <w:t>R_C</w:t>
            </w:r>
          </w:p>
        </w:tc>
        <w:tc>
          <w:tcPr>
            <w:tcW w:type="dxa" w:w="7920"/>
            <w:vAlign w:val="center"/>
          </w:tcPr>
          <w:p>
            <w:pPr>
              <w:spacing w:after="0"/>
            </w:pPr>
            <w:r>
              <w:rPr>
                <w:rFonts w:ascii="Aptos" w:hAnsi="Aptos"/>
                <w:sz w:val="16"/>
              </w:rPr>
              <w:t>Recursive conjugate closure operator</w:t>
            </w:r>
          </w:p>
        </w:tc>
      </w:tr>
      <w:tr>
        <w:trPr>
          <w:cantSplit/>
          <w:cantSplit/>
        </w:trPr>
        <w:tc>
          <w:tcPr>
            <w:tcW w:type="dxa" w:w="2160"/>
            <w:vAlign w:val="center"/>
          </w:tcPr>
          <w:p>
            <w:pPr>
              <w:spacing w:after="0"/>
            </w:pPr>
            <w:r>
              <w:rPr>
                <w:rFonts w:ascii="Aptos" w:hAnsi="Aptos"/>
                <w:sz w:val="16"/>
              </w:rPr>
              <w:t>P_T</w:t>
            </w:r>
          </w:p>
        </w:tc>
        <w:tc>
          <w:tcPr>
            <w:tcW w:type="dxa" w:w="7920"/>
            <w:vAlign w:val="center"/>
          </w:tcPr>
          <w:p>
            <w:pPr>
              <w:spacing w:after="0"/>
            </w:pPr>
            <w:r>
              <w:rPr>
                <w:rFonts w:ascii="Aptos" w:hAnsi="Aptos"/>
                <w:sz w:val="16"/>
              </w:rPr>
              <w:t>Protected persistence projector</w:t>
            </w:r>
          </w:p>
        </w:tc>
      </w:tr>
      <w:tr>
        <w:trPr>
          <w:cantSplit/>
          <w:cantSplit/>
        </w:trPr>
        <w:tc>
          <w:tcPr>
            <w:tcW w:type="dxa" w:w="2160"/>
            <w:vAlign w:val="center"/>
          </w:tcPr>
          <w:p>
            <w:pPr>
              <w:spacing w:after="0"/>
            </w:pPr>
            <w:r>
              <w:rPr>
                <w:rFonts w:ascii="Aptos" w:hAnsi="Aptos"/>
                <w:sz w:val="16"/>
              </w:rPr>
              <w:t>J_L</w:t>
            </w:r>
          </w:p>
        </w:tc>
        <w:tc>
          <w:tcPr>
            <w:tcW w:type="dxa" w:w="7920"/>
            <w:vAlign w:val="center"/>
          </w:tcPr>
          <w:p>
            <w:pPr>
              <w:spacing w:after="0"/>
            </w:pPr>
            <w:r>
              <w:rPr>
                <w:rFonts w:ascii="Aptos" w:hAnsi="Aptos"/>
                <w:sz w:val="16"/>
              </w:rPr>
              <w:t>Signed persistence/spatial involution I−2P_T</w:t>
            </w:r>
          </w:p>
        </w:tc>
      </w:tr>
      <w:tr>
        <w:trPr>
          <w:cantSplit/>
          <w:cantSplit/>
        </w:trPr>
        <w:tc>
          <w:tcPr>
            <w:tcW w:type="dxa" w:w="2160"/>
            <w:vAlign w:val="center"/>
          </w:tcPr>
          <w:p>
            <w:pPr>
              <w:spacing w:after="0"/>
            </w:pPr>
            <w:r>
              <w:rPr>
                <w:rFonts w:ascii="Aptos" w:hAnsi="Aptos"/>
                <w:sz w:val="16"/>
              </w:rPr>
              <w:t>S</w:t>
            </w:r>
          </w:p>
        </w:tc>
        <w:tc>
          <w:tcPr>
            <w:tcW w:type="dxa" w:w="7920"/>
            <w:vAlign w:val="center"/>
          </w:tcPr>
          <w:p>
            <w:pPr>
              <w:spacing w:after="0"/>
            </w:pPr>
            <w:r>
              <w:rPr>
                <w:rFonts w:ascii="Aptos" w:hAnsi="Aptos"/>
                <w:sz w:val="16"/>
              </w:rPr>
              <w:t>Physical soldering map</w:t>
            </w:r>
          </w:p>
        </w:tc>
      </w:tr>
      <w:tr>
        <w:trPr>
          <w:cantSplit/>
          <w:cantSplit/>
        </w:trPr>
        <w:tc>
          <w:tcPr>
            <w:tcW w:type="dxa" w:w="2160"/>
            <w:vAlign w:val="center"/>
          </w:tcPr>
          <w:p>
            <w:pPr>
              <w:spacing w:after="0"/>
            </w:pPr>
            <w:r>
              <w:rPr>
                <w:rFonts w:ascii="Aptos" w:hAnsi="Aptos"/>
                <w:sz w:val="16"/>
              </w:rPr>
              <w:t>g_μν</w:t>
            </w:r>
          </w:p>
        </w:tc>
        <w:tc>
          <w:tcPr>
            <w:tcW w:type="dxa" w:w="7920"/>
            <w:vAlign w:val="center"/>
          </w:tcPr>
          <w:p>
            <w:pPr>
              <w:spacing w:after="0"/>
            </w:pPr>
            <w:r>
              <w:rPr>
                <w:rFonts w:ascii="Aptos" w:hAnsi="Aptos"/>
                <w:sz w:val="16"/>
              </w:rPr>
              <w:t>Emergent local Lorentzian metric</w:t>
            </w:r>
          </w:p>
        </w:tc>
      </w:tr>
      <w:tr>
        <w:trPr>
          <w:cantSplit/>
          <w:cantSplit/>
        </w:trPr>
        <w:tc>
          <w:tcPr>
            <w:tcW w:type="dxa" w:w="2160"/>
            <w:vAlign w:val="center"/>
          </w:tcPr>
          <w:p>
            <w:pPr>
              <w:spacing w:after="0"/>
            </w:pPr>
            <w:r>
              <w:rPr>
                <w:rFonts w:ascii="Aptos" w:hAnsi="Aptos"/>
                <w:sz w:val="16"/>
              </w:rPr>
              <w:t>U_C</w:t>
            </w:r>
          </w:p>
        </w:tc>
        <w:tc>
          <w:tcPr>
            <w:tcW w:type="dxa" w:w="7920"/>
            <w:vAlign w:val="center"/>
          </w:tcPr>
          <w:p>
            <w:pPr>
              <w:spacing w:after="0"/>
            </w:pPr>
            <w:r>
              <w:rPr>
                <w:rFonts w:ascii="Aptos" w:hAnsi="Aptos"/>
                <w:sz w:val="16"/>
              </w:rPr>
              <w:t>Local retained closure transport</w:t>
            </w:r>
          </w:p>
        </w:tc>
      </w:tr>
      <w:tr>
        <w:trPr>
          <w:cantSplit/>
          <w:cantSplit/>
        </w:trPr>
        <w:tc>
          <w:tcPr>
            <w:tcW w:type="dxa" w:w="2160"/>
            <w:vAlign w:val="center"/>
          </w:tcPr>
          <w:p>
            <w:pPr>
              <w:spacing w:after="0"/>
            </w:pPr>
            <w:r>
              <w:rPr>
                <w:rFonts w:ascii="Aptos" w:hAnsi="Aptos"/>
                <w:sz w:val="16"/>
              </w:rPr>
              <w:t>∇_μ^C</w:t>
            </w:r>
          </w:p>
        </w:tc>
        <w:tc>
          <w:tcPr>
            <w:tcW w:type="dxa" w:w="7920"/>
            <w:vAlign w:val="center"/>
          </w:tcPr>
          <w:p>
            <w:pPr>
              <w:spacing w:after="0"/>
            </w:pPr>
            <w:r>
              <w:rPr>
                <w:rFonts w:ascii="Aptos" w:hAnsi="Aptos"/>
                <w:sz w:val="16"/>
              </w:rPr>
              <w:t>Local closure-covariant derivative</w:t>
            </w:r>
          </w:p>
        </w:tc>
      </w:tr>
      <w:tr>
        <w:trPr>
          <w:cantSplit/>
          <w:cantSplit/>
        </w:trPr>
        <w:tc>
          <w:tcPr>
            <w:tcW w:type="dxa" w:w="2160"/>
            <w:vAlign w:val="center"/>
          </w:tcPr>
          <w:p>
            <w:pPr>
              <w:spacing w:after="0"/>
            </w:pPr>
            <w:r>
              <w:rPr>
                <w:rFonts w:ascii="Aptos" w:hAnsi="Aptos"/>
                <w:sz w:val="16"/>
              </w:rPr>
              <w:t>Z_C</w:t>
            </w:r>
          </w:p>
        </w:tc>
        <w:tc>
          <w:tcPr>
            <w:tcW w:type="dxa" w:w="7920"/>
            <w:vAlign w:val="center"/>
          </w:tcPr>
          <w:p>
            <w:pPr>
              <w:spacing w:after="0"/>
            </w:pPr>
            <w:r>
              <w:rPr>
                <w:rFonts w:ascii="Aptos" w:hAnsi="Aptos"/>
                <w:sz w:val="16"/>
              </w:rPr>
              <w:t>Positive local closure stiffness H_C^(1/2)C_NH_C^(1/2)</w:t>
            </w:r>
          </w:p>
        </w:tc>
      </w:tr>
      <w:tr>
        <w:trPr>
          <w:cantSplit/>
          <w:cantSplit/>
        </w:trPr>
        <w:tc>
          <w:tcPr>
            <w:tcW w:type="dxa" w:w="2160"/>
            <w:vAlign w:val="center"/>
          </w:tcPr>
          <w:p>
            <w:pPr>
              <w:spacing w:after="0"/>
            </w:pPr>
            <w:r>
              <w:rPr>
                <w:rFonts w:ascii="Aptos" w:hAnsi="Aptos"/>
                <w:sz w:val="16"/>
              </w:rPr>
              <w:t>𝔉[q]</w:t>
            </w:r>
          </w:p>
        </w:tc>
        <w:tc>
          <w:tcPr>
            <w:tcW w:type="dxa" w:w="7920"/>
            <w:vAlign w:val="center"/>
          </w:tcPr>
          <w:p>
            <w:pPr>
              <w:spacing w:after="0"/>
            </w:pPr>
            <w:r>
              <w:rPr>
                <w:rFonts w:ascii="Aptos" w:hAnsi="Aptos"/>
                <w:sz w:val="16"/>
              </w:rPr>
              <w:t>Neutral-eliminated local closure functional</w:t>
            </w:r>
          </w:p>
        </w:tc>
      </w:tr>
      <w:tr>
        <w:trPr>
          <w:cantSplit/>
          <w:cantSplit/>
        </w:trPr>
        <w:tc>
          <w:tcPr>
            <w:tcW w:type="dxa" w:w="2160"/>
            <w:vAlign w:val="center"/>
          </w:tcPr>
          <w:p>
            <w:pPr>
              <w:spacing w:after="0"/>
            </w:pPr>
            <w:r>
              <w:rPr>
                <w:rFonts w:ascii="Aptos" w:hAnsi="Aptos"/>
                <w:sz w:val="16"/>
              </w:rPr>
              <w:t>Γ^(2)</w:t>
            </w:r>
          </w:p>
        </w:tc>
        <w:tc>
          <w:tcPr>
            <w:tcW w:type="dxa" w:w="7920"/>
            <w:vAlign w:val="center"/>
          </w:tcPr>
          <w:p>
            <w:pPr>
              <w:spacing w:after="0"/>
            </w:pPr>
            <w:r>
              <w:rPr>
                <w:rFonts w:ascii="Aptos" w:hAnsi="Aptos"/>
                <w:sz w:val="16"/>
              </w:rPr>
              <w:t>Local physical response Hessian</w:t>
            </w:r>
          </w:p>
        </w:tc>
      </w:tr>
      <w:tr>
        <w:trPr>
          <w:cantSplit/>
          <w:cantSplit/>
        </w:trPr>
        <w:tc>
          <w:tcPr>
            <w:tcW w:type="dxa" w:w="2160"/>
            <w:vAlign w:val="center"/>
          </w:tcPr>
          <w:p>
            <w:pPr>
              <w:spacing w:after="0"/>
            </w:pPr>
            <w:r>
              <w:rPr>
                <w:rFonts w:ascii="Aptos" w:hAnsi="Aptos"/>
                <w:sz w:val="16"/>
              </w:rPr>
              <w:t>𝒮_C</w:t>
            </w:r>
          </w:p>
        </w:tc>
        <w:tc>
          <w:tcPr>
            <w:tcW w:type="dxa" w:w="7920"/>
            <w:vAlign w:val="center"/>
          </w:tcPr>
          <w:p>
            <w:pPr>
              <w:spacing w:after="0"/>
            </w:pPr>
            <w:r>
              <w:rPr>
                <w:rFonts w:ascii="Aptos" w:hAnsi="Aptos"/>
                <w:sz w:val="16"/>
              </w:rPr>
              <w:t>Upstream self-adjoint sector classifier</w:t>
            </w:r>
          </w:p>
        </w:tc>
      </w:tr>
      <w:tr>
        <w:trPr>
          <w:cantSplit/>
          <w:cantSplit/>
        </w:trPr>
        <w:tc>
          <w:tcPr>
            <w:tcW w:type="dxa" w:w="2160"/>
            <w:vAlign w:val="center"/>
          </w:tcPr>
          <w:p>
            <w:pPr>
              <w:spacing w:after="0"/>
            </w:pPr>
            <w:r>
              <w:rPr>
                <w:rFonts w:ascii="Aptos" w:hAnsi="Aptos"/>
                <w:sz w:val="16"/>
              </w:rPr>
              <w:t>P_a</w:t>
            </w:r>
          </w:p>
        </w:tc>
        <w:tc>
          <w:tcPr>
            <w:tcW w:type="dxa" w:w="7920"/>
            <w:vAlign w:val="center"/>
          </w:tcPr>
          <w:p>
            <w:pPr>
              <w:spacing w:after="0"/>
            </w:pPr>
            <w:r>
              <w:rPr>
                <w:rFonts w:ascii="Aptos" w:hAnsi="Aptos"/>
                <w:sz w:val="16"/>
              </w:rPr>
              <w:t>Spectral projector of 𝒮_C</w:t>
            </w:r>
          </w:p>
        </w:tc>
      </w:tr>
      <w:tr>
        <w:trPr>
          <w:cantSplit/>
          <w:cantSplit/>
        </w:trPr>
        <w:tc>
          <w:tcPr>
            <w:tcW w:type="dxa" w:w="2160"/>
            <w:vAlign w:val="center"/>
          </w:tcPr>
          <w:p>
            <w:pPr>
              <w:spacing w:after="0"/>
            </w:pPr>
            <w:r>
              <w:rPr>
                <w:rFonts w:ascii="Aptos" w:hAnsi="Aptos"/>
                <w:sz w:val="16"/>
              </w:rPr>
              <w:t>ℬ_a</w:t>
            </w:r>
          </w:p>
        </w:tc>
        <w:tc>
          <w:tcPr>
            <w:tcW w:type="dxa" w:w="7920"/>
            <w:vAlign w:val="center"/>
          </w:tcPr>
          <w:p>
            <w:pPr>
              <w:spacing w:after="0"/>
            </w:pPr>
            <w:r>
              <w:rPr>
                <w:rFonts w:ascii="Aptos" w:hAnsi="Aptos"/>
                <w:sz w:val="16"/>
              </w:rPr>
              <w:t>Positive complementary sector operator B_N^(1/2)P_aB_N^(1/2)</w:t>
            </w:r>
          </w:p>
        </w:tc>
      </w:tr>
      <w:tr>
        <w:trPr>
          <w:cantSplit/>
          <w:cantSplit/>
        </w:trPr>
        <w:tc>
          <w:tcPr>
            <w:tcW w:type="dxa" w:w="2160"/>
            <w:vAlign w:val="center"/>
          </w:tcPr>
          <w:p>
            <w:pPr>
              <w:spacing w:after="0"/>
            </w:pPr>
            <w:r>
              <w:rPr>
                <w:rFonts w:ascii="Aptos" w:hAnsi="Aptos"/>
                <w:sz w:val="16"/>
              </w:rPr>
              <w:t>Z_T</w:t>
            </w:r>
          </w:p>
        </w:tc>
        <w:tc>
          <w:tcPr>
            <w:tcW w:type="dxa" w:w="7920"/>
            <w:vAlign w:val="center"/>
          </w:tcPr>
          <w:p>
            <w:pPr>
              <w:spacing w:after="0"/>
            </w:pPr>
            <w:r>
              <w:rPr>
                <w:rFonts w:ascii="Aptos" w:hAnsi="Aptos"/>
                <w:sz w:val="16"/>
              </w:rPr>
              <w:t>TT geometric closure stiffness</w:t>
            </w:r>
          </w:p>
        </w:tc>
      </w:tr>
      <w:tr>
        <w:trPr>
          <w:cantSplit/>
          <w:cantSplit/>
        </w:trPr>
        <w:tc>
          <w:tcPr>
            <w:tcW w:type="dxa" w:w="2160"/>
            <w:vAlign w:val="center"/>
          </w:tcPr>
          <w:p>
            <w:pPr>
              <w:spacing w:after="0"/>
            </w:pPr>
            <w:r>
              <w:rPr>
                <w:rFonts w:ascii="Aptos" w:hAnsi="Aptos"/>
                <w:sz w:val="16"/>
              </w:rPr>
              <w:t>Q_Ω</w:t>
            </w:r>
          </w:p>
        </w:tc>
        <w:tc>
          <w:tcPr>
            <w:tcW w:type="dxa" w:w="7920"/>
            <w:vAlign w:val="center"/>
          </w:tcPr>
          <w:p>
            <w:pPr>
              <w:spacing w:after="0"/>
            </w:pPr>
            <w:r>
              <w:rPr>
                <w:rFonts w:ascii="Aptos" w:hAnsi="Aptos"/>
                <w:sz w:val="16"/>
              </w:rPr>
              <w:t>Recursive-current / holonomy sector (J^μ,Ω)</w:t>
            </w:r>
          </w:p>
        </w:tc>
      </w:tr>
      <w:tr>
        <w:trPr>
          <w:cantSplit/>
          <w:cantSplit/>
        </w:trPr>
        <w:tc>
          <w:tcPr>
            <w:tcW w:type="dxa" w:w="2160"/>
            <w:vAlign w:val="center"/>
          </w:tcPr>
          <w:p>
            <w:pPr>
              <w:spacing w:after="0"/>
            </w:pPr>
            <w:r>
              <w:rPr>
                <w:rFonts w:ascii="Aptos" w:hAnsi="Aptos"/>
                <w:sz w:val="16"/>
              </w:rPr>
              <w:t>a_Q</w:t>
            </w:r>
          </w:p>
        </w:tc>
        <w:tc>
          <w:tcPr>
            <w:tcW w:type="dxa" w:w="7920"/>
            <w:vAlign w:val="center"/>
          </w:tcPr>
          <w:p>
            <w:pPr>
              <w:spacing w:after="0"/>
            </w:pPr>
            <w:r>
              <w:rPr>
                <w:rFonts w:ascii="Aptos" w:hAnsi="Aptos"/>
                <w:sz w:val="16"/>
              </w:rPr>
              <w:t>Relational acceleration scale; to be fixed spectrally</w:t>
            </w:r>
          </w:p>
        </w:tc>
      </w:tr>
      <w:tr>
        <w:trPr>
          <w:cantSplit/>
          <w:cantSplit/>
        </w:trPr>
        <w:tc>
          <w:tcPr>
            <w:tcW w:type="dxa" w:w="2160"/>
            <w:vAlign w:val="center"/>
          </w:tcPr>
          <w:p>
            <w:pPr>
              <w:spacing w:after="0"/>
            </w:pPr>
            <w:r>
              <w:rPr>
                <w:rFonts w:ascii="Aptos" w:hAnsi="Aptos"/>
                <w:sz w:val="16"/>
              </w:rPr>
              <w:t>μ(X)</w:t>
            </w:r>
          </w:p>
        </w:tc>
        <w:tc>
          <w:tcPr>
            <w:tcW w:type="dxa" w:w="7920"/>
            <w:vAlign w:val="center"/>
          </w:tcPr>
          <w:p>
            <w:pPr>
              <w:spacing w:after="0"/>
            </w:pPr>
            <w:r>
              <w:rPr>
                <w:rFonts w:ascii="Aptos" w:hAnsi="Aptos"/>
                <w:sz w:val="16"/>
              </w:rPr>
              <w:t>BFG relational amplitude √[X/(1+X)]</w:t>
            </w:r>
          </w:p>
        </w:tc>
      </w:tr>
      <w:tr>
        <w:trPr>
          <w:cantSplit/>
          <w:cantSplit/>
        </w:trPr>
        <w:tc>
          <w:tcPr>
            <w:tcW w:type="dxa" w:w="2160"/>
            <w:vAlign w:val="center"/>
          </w:tcPr>
          <w:p>
            <w:pPr>
              <w:spacing w:after="0"/>
            </w:pPr>
            <w:r>
              <w:rPr>
                <w:rFonts w:ascii="Aptos" w:hAnsi="Aptos"/>
                <w:sz w:val="16"/>
              </w:rPr>
              <w:t>Q_⊥</w:t>
            </w:r>
          </w:p>
        </w:tc>
        <w:tc>
          <w:tcPr>
            <w:tcW w:type="dxa" w:w="7920"/>
            <w:vAlign w:val="center"/>
          </w:tcPr>
          <w:p>
            <w:pPr>
              <w:spacing w:after="0"/>
            </w:pPr>
            <w:r>
              <w:rPr>
                <w:rFonts w:ascii="Aptos" w:hAnsi="Aptos"/>
                <w:sz w:val="16"/>
              </w:rPr>
              <w:t>Terminal residual sector</w:t>
            </w:r>
          </w:p>
        </w:tc>
      </w:tr>
      <w:tr>
        <w:trPr>
          <w:cantSplit/>
          <w:cantSplit/>
        </w:trPr>
        <w:tc>
          <w:tcPr>
            <w:tcW w:type="dxa" w:w="2160"/>
            <w:vAlign w:val="center"/>
          </w:tcPr>
          <w:p>
            <w:pPr>
              <w:spacing w:after="0"/>
            </w:pPr>
            <w:r>
              <w:rPr>
                <w:rFonts w:ascii="Aptos" w:hAnsi="Aptos"/>
                <w:sz w:val="16"/>
              </w:rPr>
              <w:t>E_⊥</w:t>
            </w:r>
          </w:p>
        </w:tc>
        <w:tc>
          <w:tcPr>
            <w:tcW w:type="dxa" w:w="7920"/>
            <w:vAlign w:val="center"/>
          </w:tcPr>
          <w:p>
            <w:pPr>
              <w:spacing w:after="0"/>
            </w:pPr>
            <w:r>
              <w:rPr>
                <w:rFonts w:ascii="Aptos" w:hAnsi="Aptos"/>
                <w:sz w:val="16"/>
              </w:rPr>
              <w:t>Terminal complementary energy</w:t>
            </w:r>
          </w:p>
        </w:tc>
      </w:tr>
      <w:tr>
        <w:trPr>
          <w:cantSplit/>
          <w:cantSplit/>
        </w:trPr>
        <w:tc>
          <w:tcPr>
            <w:tcW w:type="dxa" w:w="2160"/>
            <w:vAlign w:val="center"/>
          </w:tcPr>
          <w:p>
            <w:pPr>
              <w:spacing w:after="0"/>
            </w:pPr>
            <w:r>
              <w:rPr>
                <w:rFonts w:ascii="Aptos" w:hAnsi="Aptos"/>
                <w:sz w:val="16"/>
              </w:rPr>
              <w:t>Y_SF</w:t>
            </w:r>
          </w:p>
        </w:tc>
        <w:tc>
          <w:tcPr>
            <w:tcW w:type="dxa" w:w="7920"/>
            <w:vAlign w:val="center"/>
          </w:tcPr>
          <w:p>
            <w:pPr>
              <w:spacing w:after="0"/>
            </w:pPr>
            <w:r>
              <w:rPr>
                <w:rFonts w:ascii="Aptos" w:hAnsi="Aptos"/>
                <w:sz w:val="16"/>
              </w:rPr>
              <w:t>Strong-field master load</w:t>
            </w:r>
          </w:p>
        </w:tc>
      </w:tr>
      <w:tr>
        <w:trPr>
          <w:cantSplit/>
          <w:cantSplit/>
        </w:trPr>
        <w:tc>
          <w:tcPr>
            <w:tcW w:type="dxa" w:w="2160"/>
            <w:vAlign w:val="center"/>
          </w:tcPr>
          <w:p>
            <w:pPr>
              <w:spacing w:after="0"/>
            </w:pPr>
            <w:r>
              <w:rPr>
                <w:rFonts w:ascii="Aptos" w:hAnsi="Aptos"/>
                <w:sz w:val="16"/>
              </w:rPr>
              <w:t>N_*</w:t>
            </w:r>
          </w:p>
        </w:tc>
        <w:tc>
          <w:tcPr>
            <w:tcW w:type="dxa" w:w="7920"/>
            <w:vAlign w:val="center"/>
          </w:tcPr>
          <w:p>
            <w:pPr>
              <w:spacing w:after="0"/>
            </w:pPr>
            <w:r>
              <w:rPr>
                <w:rFonts w:ascii="Aptos" w:hAnsi="Aptos"/>
                <w:sz w:val="16"/>
              </w:rPr>
              <w:t>Terminal recursive index</w:t>
            </w:r>
          </w:p>
        </w:tc>
      </w:tr>
    </w:tbl>
    <w:p>
      <w:pPr>
        <w:pStyle w:val="Heading1"/>
        <w:keepNext/>
        <w:keepLines/>
      </w:pPr>
      <w:r>
        <w:t>Appendix C. V1-to-V2 Concordance</w:t>
      </w:r>
    </w:p>
    <w:tbl>
      <w:tblPr>
        <w:tblStyle w:val="TableGrid"/>
        <w:tblW w:type="auto" w:w="0"/>
        <w:jc w:val="center"/>
        <w:tblLook w:firstColumn="1" w:firstRow="1" w:lastColumn="0" w:lastRow="0" w:noHBand="0" w:noVBand="1" w:val="04A0"/>
      </w:tblPr>
      <w:tblGrid>
        <w:gridCol w:w="4939"/>
        <w:gridCol w:w="4939"/>
      </w:tblGrid>
      <w:tr>
        <w:trPr>
          <w:tblHeader w:val="true"/>
          <w:cantSplit/>
          <w:cantSplit/>
        </w:trPr>
        <w:tc>
          <w:tcPr>
            <w:tcW w:type="dxa" w:w="4320"/>
            <w:shd w:fill="D9EAF7"/>
            <w:vAlign w:val="center"/>
          </w:tcPr>
          <w:p>
            <w:pPr>
              <w:spacing w:after="0"/>
            </w:pPr>
            <w:r>
              <w:rPr>
                <w:rFonts w:ascii="Aptos" w:hAnsi="Aptos"/>
                <w:b/>
                <w:sz w:val="15"/>
              </w:rPr>
              <w:t>Reviewed edition</w:t>
            </w:r>
          </w:p>
        </w:tc>
        <w:tc>
          <w:tcPr>
            <w:tcW w:type="dxa" w:w="5760"/>
            <w:shd w:fill="D9EAF7"/>
            <w:vAlign w:val="center"/>
          </w:tcPr>
          <w:p>
            <w:pPr>
              <w:spacing w:after="0"/>
            </w:pPr>
            <w:r>
              <w:rPr>
                <w:rFonts w:ascii="Aptos" w:hAnsi="Aptos"/>
                <w:b/>
                <w:sz w:val="15"/>
              </w:rPr>
              <w:t>Strong Form V2</w:t>
            </w:r>
          </w:p>
        </w:tc>
      </w:tr>
      <w:tr>
        <w:trPr>
          <w:cantSplit/>
          <w:cantSplit/>
        </w:trPr>
        <w:tc>
          <w:tcPr>
            <w:tcW w:type="dxa" w:w="4320"/>
            <w:vAlign w:val="center"/>
          </w:tcPr>
          <w:p>
            <w:pPr>
              <w:spacing w:after="0"/>
            </w:pPr>
            <w:r>
              <w:rPr>
                <w:rFonts w:ascii="Aptos" w:hAnsi="Aptos"/>
                <w:sz w:val="15"/>
              </w:rPr>
              <w:t>Neutral response only</w:t>
            </w:r>
          </w:p>
        </w:tc>
        <w:tc>
          <w:tcPr>
            <w:tcW w:type="dxa" w:w="5760"/>
            <w:vAlign w:val="center"/>
          </w:tcPr>
          <w:p>
            <w:pPr>
              <w:spacing w:after="0"/>
            </w:pPr>
            <w:r>
              <w:rPr>
                <w:rFonts w:ascii="Aptos" w:hAnsi="Aptos"/>
                <w:sz w:val="15"/>
              </w:rPr>
              <w:t>Exact neutral elimination + reduced closure functional</w:t>
            </w:r>
          </w:p>
        </w:tc>
      </w:tr>
      <w:tr>
        <w:trPr>
          <w:cantSplit/>
          <w:cantSplit/>
        </w:trPr>
        <w:tc>
          <w:tcPr>
            <w:tcW w:type="dxa" w:w="4320"/>
            <w:vAlign w:val="center"/>
          </w:tcPr>
          <w:p>
            <w:pPr>
              <w:spacing w:after="0"/>
            </w:pPr>
            <w:r>
              <w:rPr>
                <w:rFonts w:ascii="Aptos" w:hAnsi="Aptos"/>
                <w:sz w:val="15"/>
              </w:rPr>
              <w:t>Sector loads P_aY_CP_a</w:t>
            </w:r>
          </w:p>
        </w:tc>
        <w:tc>
          <w:tcPr>
            <w:tcW w:type="dxa" w:w="5760"/>
            <w:vAlign w:val="center"/>
          </w:tcPr>
          <w:p>
            <w:pPr>
              <w:spacing w:after="0"/>
            </w:pPr>
            <w:r>
              <w:rPr>
                <w:rFonts w:ascii="Aptos" w:hAnsi="Aptos"/>
                <w:sz w:val="15"/>
              </w:rPr>
              <w:t>Upstream spectral classifier + positive B_N sector budget</w:t>
            </w:r>
          </w:p>
        </w:tc>
      </w:tr>
      <w:tr>
        <w:trPr>
          <w:cantSplit/>
          <w:cantSplit/>
        </w:trPr>
        <w:tc>
          <w:tcPr>
            <w:tcW w:type="dxa" w:w="4320"/>
            <w:vAlign w:val="center"/>
          </w:tcPr>
          <w:p>
            <w:pPr>
              <w:spacing w:after="0"/>
            </w:pPr>
            <w:r>
              <w:rPr>
                <w:rFonts w:ascii="Aptos" w:hAnsi="Aptos"/>
                <w:sz w:val="15"/>
              </w:rPr>
              <w:t>C² as minimal explicit completion</w:t>
            </w:r>
          </w:p>
        </w:tc>
        <w:tc>
          <w:tcPr>
            <w:tcW w:type="dxa" w:w="5760"/>
            <w:vAlign w:val="center"/>
          </w:tcPr>
          <w:p>
            <w:pPr>
              <w:spacing w:after="0"/>
            </w:pPr>
            <w:r>
              <w:rPr>
                <w:rFonts w:ascii="Aptos" w:hAnsi="Aptos"/>
                <w:sz w:val="15"/>
              </w:rPr>
              <w:t>Conditional minimal-carrier theorem under quadratic determinant causality</w:t>
            </w:r>
          </w:p>
        </w:tc>
      </w:tr>
      <w:tr>
        <w:trPr>
          <w:cantSplit/>
          <w:cantSplit/>
        </w:trPr>
        <w:tc>
          <w:tcPr>
            <w:tcW w:type="dxa" w:w="4320"/>
            <w:vAlign w:val="center"/>
          </w:tcPr>
          <w:p>
            <w:pPr>
              <w:spacing w:after="0"/>
            </w:pPr>
            <w:r>
              <w:rPr>
                <w:rFonts w:ascii="Aptos" w:hAnsi="Aptos"/>
                <w:sz w:val="15"/>
              </w:rPr>
              <w:t>Independent principal coefficients A_*, C_*</w:t>
            </w:r>
          </w:p>
        </w:tc>
        <w:tc>
          <w:tcPr>
            <w:tcW w:type="dxa" w:w="5760"/>
            <w:vAlign w:val="center"/>
          </w:tcPr>
          <w:p>
            <w:pPr>
              <w:spacing w:after="0"/>
            </w:pPr>
            <w:r>
              <w:rPr>
                <w:rFonts w:ascii="Aptos" w:hAnsi="Aptos"/>
                <w:sz w:val="15"/>
              </w:rPr>
              <w:t>LPCP + one single-metric minimal causal cone</w:t>
            </w:r>
          </w:p>
        </w:tc>
      </w:tr>
      <w:tr>
        <w:trPr>
          <w:cantSplit/>
          <w:cantSplit/>
        </w:trPr>
        <w:tc>
          <w:tcPr>
            <w:tcW w:type="dxa" w:w="4320"/>
            <w:vAlign w:val="center"/>
          </w:tcPr>
          <w:p>
            <w:pPr>
              <w:spacing w:after="0"/>
            </w:pPr>
            <w:r>
              <w:rPr>
                <w:rFonts w:ascii="Aptos" w:hAnsi="Aptos"/>
                <w:sz w:val="15"/>
              </w:rPr>
              <w:t>Conditional GR branch</w:t>
            </w:r>
          </w:p>
        </w:tc>
        <w:tc>
          <w:tcPr>
            <w:tcW w:type="dxa" w:w="5760"/>
            <w:vAlign w:val="center"/>
          </w:tcPr>
          <w:p>
            <w:pPr>
              <w:spacing w:after="0"/>
            </w:pPr>
            <w:r>
              <w:rPr>
                <w:rFonts w:ascii="Aptos" w:hAnsi="Aptos"/>
                <w:sz w:val="15"/>
              </w:rPr>
              <w:t>LPCP → geometric gauge mode → Fierz-Pauli → Einstein IR under stated assumptions</w:t>
            </w:r>
          </w:p>
        </w:tc>
      </w:tr>
      <w:tr>
        <w:trPr>
          <w:cantSplit/>
          <w:cantSplit/>
        </w:trPr>
        <w:tc>
          <w:tcPr>
            <w:tcW w:type="dxa" w:w="4320"/>
            <w:vAlign w:val="center"/>
          </w:tcPr>
          <w:p>
            <w:pPr>
              <w:spacing w:after="0"/>
            </w:pPr>
            <w:r>
              <w:rPr>
                <w:rFonts w:ascii="Aptos" w:hAnsi="Aptos"/>
                <w:sz w:val="15"/>
              </w:rPr>
              <w:t>Convention-dependent G_eff prefactor</w:t>
            </w:r>
          </w:p>
        </w:tc>
        <w:tc>
          <w:tcPr>
            <w:tcW w:type="dxa" w:w="5760"/>
            <w:vAlign w:val="center"/>
          </w:tcPr>
          <w:p>
            <w:pPr>
              <w:spacing w:after="0"/>
            </w:pPr>
            <w:r>
              <w:rPr>
                <w:rFonts w:ascii="Aptos" w:hAnsi="Aptos"/>
                <w:sz w:val="15"/>
              </w:rPr>
              <w:t>TT closure stiffness Z_T defines gravitational normalization</w:t>
            </w:r>
          </w:p>
        </w:tc>
      </w:tr>
      <w:tr>
        <w:trPr>
          <w:cantSplit/>
          <w:cantSplit/>
        </w:trPr>
        <w:tc>
          <w:tcPr>
            <w:tcW w:type="dxa" w:w="4320"/>
            <w:vAlign w:val="center"/>
          </w:tcPr>
          <w:p>
            <w:pPr>
              <w:spacing w:after="0"/>
            </w:pPr>
            <w:r>
              <w:rPr>
                <w:rFonts w:ascii="Aptos" w:hAnsi="Aptos"/>
                <w:sz w:val="15"/>
              </w:rPr>
              <w:t>Q_Ω dust-like completion</w:t>
            </w:r>
          </w:p>
        </w:tc>
        <w:tc>
          <w:tcPr>
            <w:tcW w:type="dxa" w:w="5760"/>
            <w:vAlign w:val="center"/>
          </w:tcPr>
          <w:p>
            <w:pPr>
              <w:spacing w:after="0"/>
            </w:pPr>
            <w:r>
              <w:rPr>
                <w:rFonts w:ascii="Aptos" w:hAnsi="Aptos"/>
                <w:sz w:val="15"/>
              </w:rPr>
              <w:t>Covariant conserved-current dust branch</w:t>
            </w:r>
          </w:p>
        </w:tc>
      </w:tr>
      <w:tr>
        <w:trPr>
          <w:cantSplit/>
          <w:cantSplit/>
        </w:trPr>
        <w:tc>
          <w:tcPr>
            <w:tcW w:type="dxa" w:w="4320"/>
            <w:vAlign w:val="center"/>
          </w:tcPr>
          <w:p>
            <w:pPr>
              <w:spacing w:after="0"/>
            </w:pPr>
            <w:r>
              <w:rPr>
                <w:rFonts w:ascii="Aptos" w:hAnsi="Aptos"/>
                <w:sz w:val="15"/>
              </w:rPr>
              <w:t>Galactic μ equation stated</w:t>
            </w:r>
          </w:p>
        </w:tc>
        <w:tc>
          <w:tcPr>
            <w:tcW w:type="dxa" w:w="5760"/>
            <w:vAlign w:val="center"/>
          </w:tcPr>
          <w:p>
            <w:pPr>
              <w:spacing w:after="0"/>
            </w:pPr>
            <w:r>
              <w:rPr>
                <w:rFonts w:ascii="Aptos" w:hAnsi="Aptos"/>
                <w:sz w:val="15"/>
              </w:rPr>
              <w:t>μ derived from B_N and from a quasistatic action primitive</w:t>
            </w:r>
          </w:p>
        </w:tc>
      </w:tr>
      <w:tr>
        <w:trPr>
          <w:cantSplit/>
          <w:cantSplit/>
        </w:trPr>
        <w:tc>
          <w:tcPr>
            <w:tcW w:type="dxa" w:w="4320"/>
            <w:vAlign w:val="center"/>
          </w:tcPr>
          <w:p>
            <w:pPr>
              <w:spacing w:after="0"/>
            </w:pPr>
            <w:r>
              <w:rPr>
                <w:rFonts w:ascii="Aptos" w:hAnsi="Aptos"/>
                <w:sz w:val="15"/>
              </w:rPr>
              <w:t>Q_Ω and relational response potentially additive</w:t>
            </w:r>
          </w:p>
        </w:tc>
        <w:tc>
          <w:tcPr>
            <w:tcW w:type="dxa" w:w="5760"/>
            <w:vAlign w:val="center"/>
          </w:tcPr>
          <w:p>
            <w:pPr>
              <w:spacing w:after="0"/>
            </w:pPr>
            <w:r>
              <w:rPr>
                <w:rFonts w:ascii="Aptos" w:hAnsi="Aptos"/>
                <w:sz w:val="15"/>
              </w:rPr>
              <w:t>One complementary budget + explicit no-double-counting test</w:t>
            </w:r>
          </w:p>
        </w:tc>
      </w:tr>
      <w:tr>
        <w:trPr>
          <w:cantSplit/>
          <w:cantSplit/>
        </w:trPr>
        <w:tc>
          <w:tcPr>
            <w:tcW w:type="dxa" w:w="4320"/>
            <w:vAlign w:val="center"/>
          </w:tcPr>
          <w:p>
            <w:pPr>
              <w:spacing w:after="0"/>
            </w:pPr>
            <w:r>
              <w:rPr>
                <w:rFonts w:ascii="Aptos" w:hAnsi="Aptos"/>
                <w:sz w:val="15"/>
              </w:rPr>
              <w:t>Φ=Ψ minimal lensing branch</w:t>
            </w:r>
          </w:p>
        </w:tc>
        <w:tc>
          <w:tcPr>
            <w:tcW w:type="dxa" w:w="5760"/>
            <w:vAlign w:val="center"/>
          </w:tcPr>
          <w:p>
            <w:pPr>
              <w:spacing w:after="0"/>
            </w:pPr>
            <w:r>
              <w:rPr>
                <w:rFonts w:ascii="Aptos" w:hAnsi="Aptos"/>
                <w:sz w:val="15"/>
              </w:rPr>
              <w:t>Slip and lensing calculated from the same metric solution</w:t>
            </w:r>
          </w:p>
        </w:tc>
      </w:tr>
      <w:tr>
        <w:trPr>
          <w:cantSplit/>
          <w:cantSplit/>
        </w:trPr>
        <w:tc>
          <w:tcPr>
            <w:tcW w:type="dxa" w:w="4320"/>
            <w:vAlign w:val="center"/>
          </w:tcPr>
          <w:p>
            <w:pPr>
              <w:spacing w:after="0"/>
            </w:pPr>
            <w:r>
              <w:rPr>
                <w:rFonts w:ascii="Aptos" w:hAnsi="Aptos"/>
                <w:sz w:val="15"/>
              </w:rPr>
              <w:t>Terminal residual associated with w≈−1</w:t>
            </w:r>
          </w:p>
        </w:tc>
        <w:tc>
          <w:tcPr>
            <w:tcW w:type="dxa" w:w="5760"/>
            <w:vAlign w:val="center"/>
          </w:tcPr>
          <w:p>
            <w:pPr>
              <w:spacing w:after="0"/>
            </w:pPr>
            <w:r>
              <w:rPr>
                <w:rFonts w:ascii="Aptos" w:hAnsi="Aptos"/>
                <w:sz w:val="15"/>
              </w:rPr>
              <w:t>General E_⊥(V) equation of state; w=−1 only for nonpropagating vacuum block</w:t>
            </w:r>
          </w:p>
        </w:tc>
      </w:tr>
      <w:tr>
        <w:trPr>
          <w:cantSplit/>
          <w:cantSplit/>
        </w:trPr>
        <w:tc>
          <w:tcPr>
            <w:tcW w:type="dxa" w:w="4320"/>
            <w:vAlign w:val="center"/>
          </w:tcPr>
          <w:p>
            <w:pPr>
              <w:spacing w:after="0"/>
            </w:pPr>
            <w:r>
              <w:rPr>
                <w:rFonts w:ascii="Aptos" w:hAnsi="Aptos"/>
                <w:sz w:val="15"/>
              </w:rPr>
              <w:t>Strong-field saturation proof of concept</w:t>
            </w:r>
          </w:p>
        </w:tc>
        <w:tc>
          <w:tcPr>
            <w:tcW w:type="dxa" w:w="5760"/>
            <w:vAlign w:val="center"/>
          </w:tcPr>
          <w:p>
            <w:pPr>
              <w:spacing w:after="0"/>
            </w:pPr>
            <w:r>
              <w:rPr>
                <w:rFonts w:ascii="Aptos" w:hAnsi="Aptos"/>
                <w:sz w:val="15"/>
              </w:rPr>
              <w:t>Conditional local regular-core theorem; global Kerr boundary retained</w:t>
            </w:r>
          </w:p>
        </w:tc>
      </w:tr>
      <w:tr>
        <w:trPr>
          <w:cantSplit/>
          <w:cantSplit/>
        </w:trPr>
        <w:tc>
          <w:tcPr>
            <w:tcW w:type="dxa" w:w="4320"/>
            <w:vAlign w:val="center"/>
          </w:tcPr>
          <w:p>
            <w:pPr>
              <w:spacing w:after="0"/>
            </w:pPr>
            <w:r>
              <w:rPr>
                <w:rFonts w:ascii="Aptos" w:hAnsi="Aptos"/>
                <w:sz w:val="15"/>
              </w:rPr>
              <w:t>Several separate downstream derivation gaps</w:t>
            </w:r>
          </w:p>
        </w:tc>
        <w:tc>
          <w:tcPr>
            <w:tcW w:type="dxa" w:w="5760"/>
            <w:vAlign w:val="center"/>
          </w:tcPr>
          <w:p>
            <w:pPr>
              <w:spacing w:after="0"/>
            </w:pPr>
            <w:r>
              <w:rPr>
                <w:rFonts w:ascii="Aptos" w:hAnsi="Aptos"/>
                <w:sz w:val="15"/>
              </w:rPr>
              <w:t>One explicit local physical closure bridge plus calculational spectral tasks</w:t>
            </w:r>
          </w:p>
        </w:tc>
      </w:tr>
    </w:tbl>
    <w:p>
      <w:pPr/>
      <w:r>
        <w:rPr>
          <w:i w:val="0"/>
        </w:rPr>
        <w:t>Version 2 therefore narrows the strongest defensible claim. It does not say that all observed physics has already been numerically derived from Level 0. It says that once LPCP and the upstream master spectrum are fixed, downstream local response is no longer permitted to branch into independently chosen phenomenological laws.</w:t>
      </w:r>
    </w:p>
    <w:p>
      <w:pPr>
        <w:pStyle w:val="Heading1"/>
        <w:keepNext/>
        <w:keepLines/>
      </w:pPr>
      <w:r>
        <w:t>References</w:t>
      </w:r>
    </w:p>
    <w:p>
      <w:pPr>
        <w:spacing w:after="50"/>
        <w:ind w:hanging="259" w:left="259"/>
      </w:pPr>
      <w:r>
        <w:rPr>
          <w:sz w:val="16"/>
        </w:rPr>
        <w:t>[1] M. T. Wende, “The Balance-Field Framework (BFG): Core Ontology and Regime Logic,” internal BFG manuscript, 2026.</w:t>
      </w:r>
    </w:p>
    <w:p>
      <w:pPr>
        <w:spacing w:after="50"/>
        <w:ind w:hanging="259" w:left="259"/>
      </w:pPr>
      <w:r>
        <w:rPr>
          <w:sz w:val="16"/>
        </w:rPr>
        <w:t>[2] M. T. Wende and T. W. Loker, “A Constructive Level-0 Foundation of the Balance-Field Framework (BFG): A Pre-Mathematical Balance Substrate for Emergent Order, Information, Process Time and Physics,” BFG / independent research manuscript, 2026.</w:t>
      </w:r>
    </w:p>
    <w:p>
      <w:pPr>
        <w:spacing w:after="50"/>
        <w:ind w:hanging="259" w:left="259"/>
      </w:pPr>
      <w:r>
        <w:rPr>
          <w:sz w:val="16"/>
        </w:rPr>
        <w:t>[3] R. A. Horn and C. R. Johnson, Matrix Analysis, 2nd ed., Cambridge University Press, 2013.</w:t>
      </w:r>
    </w:p>
    <w:p>
      <w:pPr>
        <w:spacing w:after="50"/>
        <w:ind w:hanging="259" w:left="259"/>
      </w:pPr>
      <w:r>
        <w:rPr>
          <w:sz w:val="16"/>
        </w:rPr>
        <w:t>[4] C. Davis and W. M. Kahan, “The Rotation of Eigenvectors by a Perturbation. III,” SIAM Journal on Numerical Analysis 7, 1–46 (1970). doi:10.1137/0707001.</w:t>
      </w:r>
    </w:p>
    <w:p>
      <w:pPr>
        <w:spacing w:after="50"/>
        <w:ind w:hanging="259" w:left="259"/>
      </w:pPr>
      <w:r>
        <w:rPr>
          <w:sz w:val="16"/>
        </w:rPr>
        <w:t>[5] R. Kaye and R. Wilson, Linear Algebra, Oxford University Press, 1998, Chapter 7: Quadratic Forms and Sylvester’s Law of Inertia.</w:t>
      </w:r>
    </w:p>
    <w:p>
      <w:pPr>
        <w:spacing w:after="50"/>
        <w:ind w:hanging="259" w:left="259"/>
      </w:pPr>
      <w:r>
        <w:rPr>
          <w:sz w:val="16"/>
        </w:rPr>
        <w:t>[6] R. Penrose and W. Rindler, Spinors and Space-Time, Vol. 1: Two-Spinor Calculus and Relativistic Fields, Cambridge University Press, 1984.</w:t>
      </w:r>
    </w:p>
    <w:p>
      <w:pPr>
        <w:spacing w:after="50"/>
        <w:ind w:hanging="259" w:left="259"/>
      </w:pPr>
      <w:r>
        <w:rPr>
          <w:sz w:val="16"/>
        </w:rPr>
        <w:t>[7] D. Lovelock, “The Einstein Tensor and Its Generalizations,” Journal of Mathematical Physics 12, 498–501 (1971). doi:10.1063/1.1665613.</w:t>
      </w:r>
    </w:p>
    <w:p>
      <w:pPr>
        <w:spacing w:after="50"/>
        <w:ind w:hanging="259" w:left="259"/>
      </w:pPr>
      <w:r>
        <w:rPr>
          <w:sz w:val="16"/>
        </w:rPr>
        <w:t>[8] J. F. Donoghue, “General Relativity as an Effective Field Theory: The Leading Quantum Corrections,” Physical Review D 50, 3874–3888 (1994). doi:10.1103/PhysRevD.50.3874.</w:t>
      </w:r>
    </w:p>
    <w:p>
      <w:pPr>
        <w:spacing w:after="50"/>
        <w:ind w:hanging="259" w:left="259"/>
      </w:pPr>
      <w:r>
        <w:rPr>
          <w:sz w:val="16"/>
        </w:rPr>
        <w:t>[9] B. P. Abbott et al. (LIGO Scientific Collaboration, Virgo Collaboration, Fermi GBM, INTEGRAL), “Gravitational Waves and Gamma-Rays from a Binary Neutron Star Merger: GW170817 and GRB 170817A,” Astrophysical Journal Letters 848, L13 (2017). doi:10.3847/2041-8213/aa920c.</w:t>
      </w:r>
    </w:p>
    <w:p>
      <w:pPr>
        <w:spacing w:after="50"/>
        <w:ind w:hanging="259" w:left="259"/>
      </w:pPr>
      <w:r>
        <w:rPr>
          <w:sz w:val="16"/>
        </w:rPr>
        <w:t>[10] Planck Collaboration, “Planck 2018 Results. VI. Cosmological Parameters,” Astronomy &amp; Astrophysics 641, A6 (2020). doi:10.1051/0004-6361/201833910.</w:t>
      </w:r>
    </w:p>
    <w:p>
      <w:pPr>
        <w:spacing w:after="50"/>
        <w:ind w:hanging="259" w:left="259"/>
      </w:pPr>
      <w:r>
        <w:rPr>
          <w:sz w:val="16"/>
        </w:rPr>
        <w:t>[11] M. Abdul Karim et al. (DESI Collaboration), “DESI DR2 Results II: Measurements of Baryon Acoustic Oscillations and Cosmological Constraints,” Physical Review D 112, 083515 (2025). doi:10.1103/tr6y-kpc6.</w:t>
      </w:r>
    </w:p>
    <w:p>
      <w:pPr>
        <w:spacing w:after="50"/>
        <w:ind w:hanging="259" w:left="259"/>
      </w:pPr>
      <w:r>
        <w:rPr>
          <w:sz w:val="16"/>
        </w:rPr>
        <w:t>[12] K. Lodha et al. (DESI Collaboration), “Extended Dark Energy Analysis Using DESI DR2 BAO Measurements,” Physical Review D 112, 083511 (2025). doi:10.1103/w4c6-1r5j.</w:t>
      </w:r>
    </w:p>
    <w:p>
      <w:pPr>
        <w:spacing w:after="50"/>
        <w:ind w:hanging="259" w:left="259"/>
      </w:pPr>
      <w:r>
        <w:rPr>
          <w:sz w:val="16"/>
        </w:rPr>
        <w:t>[13] M. Milgrom, “A Modification of the Newtonian Dynamics as a Possible Alternative to the Hidden Mass Hypothesis,” Astrophysical Journal 270, 365–370 (1983). doi:10.1086/161130.</w:t>
      </w:r>
    </w:p>
    <w:p>
      <w:pPr>
        <w:spacing w:after="50"/>
        <w:ind w:hanging="259" w:left="259"/>
      </w:pPr>
      <w:r>
        <w:rPr>
          <w:sz w:val="16"/>
        </w:rPr>
        <w:t>[14] S. S. McGaugh, “The Baryonic Tully-Fisher Relation of Gas-Rich Galaxies as a Test of ΛCDM and MOND,” Astronomical Journal 143, 40 (2012). doi:10.1088/0004-6256/143/2/40.</w:t>
      </w:r>
    </w:p>
    <w:p>
      <w:pPr>
        <w:spacing w:after="50"/>
        <w:ind w:hanging="259" w:left="259"/>
      </w:pPr>
      <w:r>
        <w:rPr>
          <w:sz w:val="16"/>
        </w:rPr>
        <w:t>[15] Planck Collaboration, “Planck 2018 Results. VIII. Gravitational Lensing,” Astronomy &amp; Astrophysics 641, A8 (2020). doi:10.1051/0004-6361/201833886.</w:t>
      </w:r>
    </w:p>
    <w:p>
      <w:pPr>
        <w:spacing w:after="50"/>
        <w:ind w:hanging="259" w:left="259"/>
      </w:pPr>
      <w:r>
        <w:rPr>
          <w:sz w:val="16"/>
        </w:rPr>
        <w:t>[16] E. Poisson and W. Israel, “Inner-Horizon Instability and Mass Inflation in Black Holes,” Physical Review Letters 63, 1663–1666 (1989). doi:10.1103/PhysRevLett.63.1663.</w:t>
      </w:r>
    </w:p>
    <w:p>
      <w:pPr>
        <w:spacing w:after="50"/>
        <w:ind w:hanging="259" w:left="259"/>
      </w:pPr>
      <w:r>
        <w:rPr>
          <w:sz w:val="16"/>
        </w:rPr>
        <w:t>[17] E. Poisson and W. Israel, “Internal Structure of Black Holes,” Physical Review D 41, 1796–1809 (1990). doi:10.1103/PhysRevD.41.1796.</w:t>
      </w:r>
    </w:p>
    <w:p>
      <w:pPr>
        <w:spacing w:after="50"/>
        <w:ind w:hanging="259" w:left="259"/>
      </w:pPr>
      <w:r>
        <w:rPr>
          <w:sz w:val="16"/>
        </w:rPr>
        <w:t>[18] A. Ori, “Inner Structure of a Charged Black Hole: An Exact Mass-Inflation Solution,” Physical Review Letters 67, 789–792 (1991). doi:10.1103/PhysRevLett.67.789.</w:t>
      </w:r>
    </w:p>
    <w:p>
      <w:pPr>
        <w:spacing w:after="50"/>
        <w:ind w:hanging="259" w:left="259"/>
      </w:pPr>
      <w:r>
        <w:rPr>
          <w:sz w:val="16"/>
        </w:rPr>
        <w:t>[19] M. T. Wende, “BFG: The Neutral Interface,” internal BFG manuscript, 2026.</w:t>
      </w:r>
    </w:p>
    <w:p>
      <w:pPr>
        <w:spacing w:after="50"/>
        <w:ind w:hanging="259" w:left="259"/>
      </w:pPr>
      <w:r>
        <w:rPr>
          <w:sz w:val="16"/>
        </w:rPr>
        <w:t>[20] M. T. Wende, “BFG Admissible Geometric Closure,” internal BFG manuscript, 2026.</w:t>
      </w:r>
    </w:p>
    <w:p>
      <w:pPr>
        <w:spacing w:after="50"/>
        <w:ind w:hanging="259" w:left="259"/>
      </w:pPr>
      <w:r>
        <w:rPr>
          <w:sz w:val="16"/>
        </w:rPr>
        <w:t>[21] M. T. Wende, “Trinitarian Recursive Closure Architecture,” internal BFG whitepaper, 2026.</w:t>
      </w:r>
    </w:p>
    <w:p>
      <w:pPr>
        <w:spacing w:after="50"/>
        <w:ind w:hanging="259" w:left="259"/>
      </w:pPr>
      <w:r>
        <w:rPr>
          <w:sz w:val="16"/>
        </w:rPr>
        <w:t>[22] M. T. Wende and L. K. C. Leighton, “The Recursive Conjugate Closure Extension of the Balance-Field Framework (BFG): Holomorphic/Anti-Holomorphic Recursive Geometry, Lift-Invariant Closure, and Stable Conscious Regimes,” BFG / independent research manuscript, 2026.</w:t>
      </w:r>
    </w:p>
    <w:p>
      <w:pPr>
        <w:spacing w:after="50"/>
        <w:ind w:hanging="259" w:left="259"/>
      </w:pPr>
      <w:r>
        <w:rPr>
          <w:sz w:val="16"/>
        </w:rPr>
        <w:t>[23] M. Fierz and W. Pauli, “On Relativistic Wave Equations for Particles of Arbitrary Spin in an Electromagnetic Field,” Proceedings of the Royal Society A 173, 211–232 (1939). doi:10.1098/rspa.1939.0140.</w:t>
      </w:r>
    </w:p>
    <w:p>
      <w:pPr>
        <w:spacing w:after="50"/>
        <w:ind w:hanging="259" w:left="259"/>
      </w:pPr>
      <w:r>
        <w:rPr>
          <w:sz w:val="16"/>
        </w:rPr>
        <w:t>[24] S. Deser, “Self-Interaction and Gauge Invariance,” General Relativity and Gravitation 1, 9–18 (1970). doi:10.1007/BF00759198.</w:t>
      </w:r>
    </w:p>
    <w:p>
      <w:pPr>
        <w:spacing w:after="50"/>
        <w:ind w:hanging="259" w:left="259"/>
      </w:pPr>
      <w:r>
        <w:rPr>
          <w:sz w:val="16"/>
        </w:rPr>
        <w:t>[25] S. Weinberg, “Photons and Gravitons in S-Matrix Theory: Derivation of Charge Conservation and Equality of Gravitational and Inertial Mass,” Physical Review 135, B1049–B1056 (1964). doi:10.1103/PhysRev.135.B1049.</w:t>
      </w:r>
    </w:p>
    <w:p>
      <w:pPr>
        <w:spacing w:after="50"/>
        <w:ind w:hanging="259" w:left="259"/>
      </w:pPr>
      <w:r>
        <w:rPr>
          <w:sz w:val="16"/>
        </w:rPr>
        <w:t>[26] J. D. Brown and K. V. Kuchař, “Dust as a Standard of Space and Time in Canonical Quantum Gravity,” Physical Review D 51, 5600–5629 (1995). doi:10.1103/PhysRevD.51.5600.</w:t>
      </w:r>
    </w:p>
    <w:p>
      <w:pPr>
        <w:spacing w:after="50"/>
        <w:ind w:hanging="259" w:left="259"/>
      </w:pPr>
      <w:r>
        <w:rPr>
          <w:sz w:val="16"/>
        </w:rPr>
        <w:t>[27] J. D. Bekenstein and M. Milgrom, “Does the Missing Mass Problem Signal the Breakdown of Newtonian Gravity?” Astrophysical Journal 286, 7–14 (1984). doi:10.1086/162570.</w:t>
      </w:r>
    </w:p>
    <w:p>
      <w:pPr>
        <w:spacing w:after="50"/>
        <w:ind w:hanging="259" w:left="259"/>
      </w:pPr>
      <w:r>
        <w:rPr>
          <w:sz w:val="16"/>
        </w:rPr>
        <w:t>[28] J. D. Bekenstein, “Relativistic Gravitation Theory for the Modified Newtonian Dynamics Paradigm,” Physical Review D 70, 083509 (2004); erratum D 71, 069901 (2005). doi:10.1103/PhysRevD.70.083509.</w:t>
      </w:r>
    </w:p>
    <w:p>
      <w:pPr>
        <w:spacing w:after="50"/>
        <w:ind w:hanging="259" w:left="259"/>
      </w:pPr>
      <w:r>
        <w:rPr>
          <w:sz w:val="16"/>
        </w:rPr>
        <w:t>[29] C. Skordis and T. Złośnik, “New Relativistic Theory for Modified Newtonian Dynamics,” Physical Review Letters 127, 161302 (2021). doi:10.1103/PhysRevLett.127.161302.</w:t>
      </w:r>
    </w:p>
    <w:p>
      <w:pPr>
        <w:spacing w:after="50"/>
        <w:ind w:hanging="259" w:left="259"/>
      </w:pPr>
      <w:r>
        <w:rPr>
          <w:sz w:val="16"/>
        </w:rPr>
        <w:t>[30] F. Lelli, S. S. McGaugh, J. M. Schombert, H. Desmond, and H. Katz, “The Baryonic Tully-Fisher Relation for Different Velocity Definitions and Implications for Galaxy Angular Momentum,” Monthly Notices of the Royal Astronomical Society 484, 3267–3278 (2019). doi:10.1093/mnras/stz205.</w:t>
      </w:r>
    </w:p>
    <w:p>
      <w:pPr>
        <w:spacing w:after="50"/>
        <w:ind w:hanging="259" w:left="259"/>
      </w:pPr>
      <w:r>
        <w:rPr>
          <w:sz w:val="16"/>
        </w:rPr>
        <w:t>[31] T. Jacobson and D. Mattingly, “Einstein-Aether Waves,” Physical Review D 70, 024003 (2004). doi:10.1103/PhysRevD.70.024003.</w:t>
      </w:r>
    </w:p>
    <w:p>
      <w:pPr>
        <w:pStyle w:val="Heading1"/>
        <w:keepNext/>
        <w:keepLines/>
      </w:pPr>
      <w:r>
        <w:t>Closing Statement</w:t>
      </w:r>
    </w:p>
    <w:p>
      <w:pPr>
        <w:pStyle w:val="QuoteBFG"/>
        <w:jc w:val="left"/>
      </w:pPr>
      <w:r>
        <w:t>The strongest Version-2 BFG claim is not that every observed sector has already been numerically solved. It is that formation, neutral mediation, recursive persistence, local geometry, local propagation, gravity, dark-sector response, terminal closure, and strong-field behavior are now constrained to pass through one continuity-preserving closure architecture. The remaining work is therefore calculation and falsification of one frozen structure, not the invention of independent laws for each regime.</w:t>
      </w:r>
    </w:p>
    <w:sectPr w:rsidR="00FC693F" w:rsidRPr="0006063C" w:rsidSect="00034616">
      <w:headerReference w:type="default" r:id="rId9"/>
      <w:footerReference w:type="default" r:id="rId10"/>
      <w:pgSz w:w="12240" w:h="15840"/>
      <w:pgMar w:top="1008" w:right="1181" w:bottom="1008" w:left="1181"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F7F7F"/>
        <w:sz w:val="15"/>
      </w:rPr>
      <w:t xml:space="preserve">Balance-Field Framework (BFG)  •  Strong Form Version 2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7F7F7F"/>
        <w:sz w:val="15"/>
      </w:rPr>
      <w:t>BFG UNIVERSAL STRUCTURAL WHITEPAPER — STRONG FORM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0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pPr>
    <w:rPr>
      <w:rFonts w:ascii="Cambria Math" w:hAnsi="Cambria Math"/>
      <w:sz w:val="21"/>
    </w:rPr>
  </w:style>
  <w:style w:type="paragraph" w:customStyle="1" w:styleId="QuoteBFG">
    <w:name w:val="QuoteBFG"/>
    <w:pPr>
      <w:spacing w:before="120" w:after="140"/>
      <w:ind w:left="403" w:right="403"/>
    </w:pPr>
    <w:rPr>
      <w:rFonts w:ascii="Aptos" w:hAnsi="Aptos"/>
      <w:i/>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Balance-Field Theory — Universal Structural Whitepaper — Strong Form Version 2</dc:title>
  <dc:subject>Local Physical Closure, neutral mediation, emergent geometry, gravity, dark-sector response, and strong-field closure</dc:subject>
  <dc:creator>Marcel Theodor Wende</dc:creator>
  <cp:keywords>Balance-Field Framework; BFG; neutral closure; recursive closure; emergent spacetime; gravity; dark matter; dark energy; strong field</cp:keywords>
  <dc:description>Strong Form Version 2. Scientific status: structural theory and research program.</dc:description>
  <cp:lastModifiedBy/>
  <cp:revision>1</cp:revision>
  <dcterms:created xsi:type="dcterms:W3CDTF">2013-12-23T23:15:00Z</dcterms:created>
  <dcterms:modified xsi:type="dcterms:W3CDTF">2013-12-23T23:15:00Z</dcterms:modified>
  <cp:category/>
</cp:coreProperties>
</file>