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pyat3xlyfgec" w:id="0"/>
      <w:bookmarkEnd w:id="0"/>
      <w:r w:rsidDel="00000000" w:rsidR="00000000" w:rsidRPr="00000000">
        <w:rPr>
          <w:rtl w:val="0"/>
        </w:rPr>
        <w:t xml:space="preserve">Capítulo 3. MATERIALES Y MÉTODOS</w:t>
      </w:r>
      <w:r w:rsidDel="00000000" w:rsidR="00000000" w:rsidRPr="00000000">
        <w:rPr>
          <w:rtl w:val="0"/>
        </w:rPr>
      </w:r>
    </w:p>
    <w:p w:rsidR="00000000" w:rsidDel="00000000" w:rsidP="00000000" w:rsidRDefault="00000000" w:rsidRPr="00000000" w14:paraId="00000002">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pStyle w:val="Heading1"/>
        <w:rPr>
          <w:b w:val="1"/>
          <w:bCs w:val="1"/>
        </w:rPr>
      </w:pPr>
      <w:bookmarkStart w:colFirst="0" w:colLast="0" w:name="_gdi1172kko7a" w:id="1"/>
      <w:bookmarkEnd w:id="1"/>
      <w:r w:rsidDel="00000000" w:rsidR="00000000" w:rsidRPr="00000000">
        <w:rPr>
          <w:rtl w:val="0"/>
        </w:rPr>
        <w:t xml:space="preserve">3.# Materias primas</w:t>
      </w:r>
      <w:r w:rsidDel="00000000" w:rsidR="00000000" w:rsidRPr="00000000">
        <w:rPr>
          <w:rtl w:val="0"/>
        </w:rPr>
      </w:r>
    </w:p>
    <w:p w:rsidR="00000000" w:rsidDel="00000000" w:rsidP="00000000" w:rsidRDefault="00000000" w:rsidRPr="00000000" w14:paraId="00000005">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materias primas para la síntesis de polioles que se utilizaron fueron:</w:t>
      </w:r>
    </w:p>
    <w:p w:rsidR="00000000" w:rsidDel="00000000" w:rsidP="00000000" w:rsidRDefault="00000000" w:rsidRPr="00000000" w14:paraId="00000007">
      <w:pPr>
        <w:spacing w:line="276" w:lineRule="auto"/>
        <w:ind w:left="720" w:hanging="578.267716535433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*Aceites de soja</w:t>
      </w:r>
    </w:p>
    <w:p w:rsidR="00000000" w:rsidDel="00000000" w:rsidP="00000000" w:rsidRDefault="00000000" w:rsidRPr="00000000" w14:paraId="00000008">
      <w:pPr>
        <w:spacing w:line="276" w:lineRule="auto"/>
        <w:ind w:left="720" w:hanging="578.267716535433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*Peróxido de hidrógeno 30%</w:t>
      </w:r>
    </w:p>
    <w:p w:rsidR="00000000" w:rsidDel="00000000" w:rsidP="00000000" w:rsidRDefault="00000000" w:rsidRPr="00000000" w14:paraId="00000009">
      <w:pPr>
        <w:spacing w:line="276" w:lineRule="auto"/>
        <w:ind w:left="720" w:hanging="578.267716535433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*Ácido fórmico 85%</w:t>
      </w:r>
    </w:p>
    <w:p w:rsidR="00000000" w:rsidDel="00000000" w:rsidP="00000000" w:rsidRDefault="00000000" w:rsidRPr="00000000" w14:paraId="0000000A">
      <w:pPr>
        <w:spacing w:line="276" w:lineRule="auto"/>
        <w:ind w:left="720" w:hanging="578.267716535433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*Agua destilada</w:t>
      </w:r>
    </w:p>
    <w:p w:rsidR="00000000" w:rsidDel="00000000" w:rsidP="00000000" w:rsidRDefault="00000000" w:rsidRPr="00000000" w14:paraId="0000000B">
      <w:pPr>
        <w:spacing w:line="276" w:lineRule="auto"/>
        <w:ind w:left="720" w:hanging="578.267716535433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*Ácido sulfúrico 98%</w:t>
      </w:r>
    </w:p>
    <w:p w:rsidR="00000000" w:rsidDel="00000000" w:rsidP="00000000" w:rsidRDefault="00000000" w:rsidRPr="00000000" w14:paraId="0000000C">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pStyle w:val="Heading2"/>
        <w:rPr>
          <w:b w:val="1"/>
          <w:bCs w:val="1"/>
        </w:rPr>
      </w:pPr>
      <w:bookmarkStart w:colFirst="0" w:colLast="0" w:name="_cw286wjujhmp" w:id="2"/>
      <w:bookmarkEnd w:id="2"/>
      <w:r w:rsidDel="00000000" w:rsidR="00000000" w:rsidRPr="00000000">
        <w:rPr>
          <w:rtl w:val="0"/>
        </w:rPr>
        <w:t xml:space="preserve">3.#.# Aceites de soja</w:t>
      </w:r>
      <w:r w:rsidDel="00000000" w:rsidR="00000000" w:rsidRPr="00000000">
        <w:rPr>
          <w:rtl w:val="0"/>
        </w:rPr>
      </w:r>
    </w:p>
    <w:p w:rsidR="00000000" w:rsidDel="00000000" w:rsidP="00000000" w:rsidRDefault="00000000" w:rsidRPr="00000000" w14:paraId="0000000F">
      <w:pPr>
        <w:spacing w:line="276" w:lineRule="auto"/>
        <w:ind w:left="0"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aceites vegetales utilizados como materia prima corresponden a aceites de soja crudo de distinto origen, sin refinamiento posterior previo a su uso en síntesis. La utilización de diferentes proveedores permitió evaluar la influencia de la variabilidad intrínseca de la materia prima sobre el comportamiento dentro del reactor y las propiedades de los polioles obtenidos. Se utilizaron cuatro aceites de soja crudo de diferentes procedencias:</w:t>
      </w:r>
    </w:p>
    <w:p w:rsidR="00000000" w:rsidDel="00000000" w:rsidP="00000000" w:rsidRDefault="00000000" w:rsidRPr="00000000" w14:paraId="00000011">
      <w:pPr>
        <w:spacing w:line="276" w:lineRule="auto"/>
        <w:ind w:left="720" w:hanging="578.267716535433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*SBO-4Ases: aceite proveniente de un trabajo previo con la empresa Cuatro Ases S.A. (Altos de Chipión, Córdoba). Esta empresa fabrica la línea de colchones Elegante. Este aceite fue utilizado en las síntesis de polioles SBO-P-01 a SBO-P-04.</w:t>
      </w:r>
    </w:p>
    <w:p w:rsidR="00000000" w:rsidDel="00000000" w:rsidP="00000000" w:rsidRDefault="00000000" w:rsidRPr="00000000" w14:paraId="00000012">
      <w:pPr>
        <w:spacing w:line="276" w:lineRule="auto"/>
        <w:ind w:left="720" w:hanging="578.267716535433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*SBO-Pruminir: aceite de soja crudo suministrado por la empresa Pruminir (Grupo Princz, San Justo, Buenos Aires). Este aceite fue utilizado en las síntesis de polioles SBO-P-06 a SBO-P-13.</w:t>
      </w:r>
    </w:p>
    <w:p w:rsidR="00000000" w:rsidDel="00000000" w:rsidP="00000000" w:rsidRDefault="00000000" w:rsidRPr="00000000" w14:paraId="00000013">
      <w:pPr>
        <w:spacing w:line="276" w:lineRule="auto"/>
        <w:ind w:left="720" w:hanging="578.267716535433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*SBO-CamiloAldao: este aceite proveniente de un productor de la localidad argentina de Camilo Aldao (Córdoba), fue utilizado en las síntesis de polioles SBO-P-14 a SBO-P-19.</w:t>
      </w:r>
    </w:p>
    <w:p w:rsidR="00000000" w:rsidDel="00000000" w:rsidP="00000000" w:rsidRDefault="00000000" w:rsidRPr="00000000" w14:paraId="00000014">
      <w:pPr>
        <w:spacing w:line="276" w:lineRule="auto"/>
        <w:ind w:left="720" w:hanging="578.267716535433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*SBO-Pampayasta: la empresa DIEZ S.R.L. es proveedora de este aceite. La empresa está conformada por diez productores agropecuarios y se ubica en la localidad Pampayasta Sud, Córdoba. Este aceite fue utilizado en las síntesis de polioles SBO-P-20 a SBO-P-##.</w:t>
      </w:r>
    </w:p>
    <w:p w:rsidR="00000000" w:rsidDel="00000000" w:rsidP="00000000" w:rsidRDefault="00000000" w:rsidRPr="00000000" w14:paraId="00000015">
      <w:pPr>
        <w:spacing w:line="276" w:lineRule="auto"/>
        <w:ind w:left="0"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spacing w:line="276" w:lineRule="auto"/>
        <w:ind w:left="0"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material de referencia se utilizaron los siguientes aceites:</w:t>
      </w:r>
    </w:p>
    <w:p w:rsidR="00000000" w:rsidDel="00000000" w:rsidP="00000000" w:rsidRDefault="00000000" w:rsidRPr="00000000" w14:paraId="00000017">
      <w:pPr>
        <w:spacing w:line="276" w:lineRule="auto"/>
        <w:ind w:left="720" w:hanging="578.267716535433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*CO-Analítico: aceite de ricino (castor-oil) grado analítico como referencia de poliol vegetal.</w:t>
      </w:r>
    </w:p>
    <w:p w:rsidR="00000000" w:rsidDel="00000000" w:rsidP="00000000" w:rsidRDefault="00000000" w:rsidRPr="00000000" w14:paraId="00000018">
      <w:pPr>
        <w:spacing w:line="276" w:lineRule="auto"/>
        <w:ind w:left="720" w:hanging="578.267716535433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*SBO-Sojola: aceite de soja alimenticio comercial de la marca Sojola (SBO-P-05).</w:t>
      </w:r>
    </w:p>
    <w:p w:rsidR="00000000" w:rsidDel="00000000" w:rsidP="00000000" w:rsidRDefault="00000000" w:rsidRPr="00000000" w14:paraId="00000019">
      <w:pPr>
        <w:spacing w:line="276" w:lineRule="auto"/>
        <w:ind w:left="720" w:hanging="578.2677165354331"/>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spacing w:line="276" w:lineRule="auto"/>
        <w:ind w:left="720" w:hanging="578.2677165354331"/>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pStyle w:val="Heading2"/>
        <w:ind w:firstLine="141.73228346456688"/>
        <w:jc w:val="both"/>
        <w:rPr/>
      </w:pPr>
      <w:bookmarkStart w:colFirst="0" w:colLast="0" w:name="_p084pxg5kmcm" w:id="3"/>
      <w:bookmarkEnd w:id="3"/>
      <w:r w:rsidDel="00000000" w:rsidR="00000000" w:rsidRPr="00000000">
        <w:rPr>
          <w:rtl w:val="0"/>
        </w:rPr>
        <w:t xml:space="preserve">3.#.# Peróxido de hidrógeno 30%</w:t>
      </w:r>
    </w:p>
    <w:p w:rsidR="00000000" w:rsidDel="00000000" w:rsidP="00000000" w:rsidRDefault="00000000" w:rsidRPr="00000000" w14:paraId="0000001C">
      <w:pPr>
        <w:spacing w:line="276" w:lineRule="auto"/>
        <w:ind w:left="0"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Fue utilizado como agente oxidante en la generación de ácido perfórmico in situ. Se empleó una solución comercial de concentración nominal 30% p/p, utilizada sin cambios adicionales. El reactivo fue dosificado de manera controlada mediante bomba peristáltica, permitiendo controlar la velocidad de generación del agente oxidante y la generación de calor durante la reacción.</w:t>
      </w:r>
    </w:p>
    <w:p w:rsidR="00000000" w:rsidDel="00000000" w:rsidP="00000000" w:rsidRDefault="00000000" w:rsidRPr="00000000" w14:paraId="0000001D">
      <w:pPr>
        <w:spacing w:line="276" w:lineRule="auto"/>
        <w:ind w:left="0"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spacing w:line="276" w:lineRule="auto"/>
        <w:ind w:left="0"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pStyle w:val="Heading2"/>
        <w:ind w:firstLine="141.73228346456688"/>
        <w:jc w:val="both"/>
        <w:rPr/>
      </w:pPr>
      <w:bookmarkStart w:colFirst="0" w:colLast="0" w:name="_mj1x9ihvy7o3" w:id="4"/>
      <w:bookmarkEnd w:id="4"/>
      <w:r w:rsidDel="00000000" w:rsidR="00000000" w:rsidRPr="00000000">
        <w:rPr>
          <w:rtl w:val="0"/>
        </w:rPr>
        <w:t xml:space="preserve">3.#.# Ácido fórmico</w:t>
      </w:r>
    </w:p>
    <w:p w:rsidR="00000000" w:rsidDel="00000000" w:rsidP="00000000" w:rsidRDefault="00000000" w:rsidRPr="00000000" w14:paraId="00000020">
      <w:pPr>
        <w:spacing w:line="276" w:lineRule="auto"/>
        <w:ind w:left="0"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ácido fórmico fue el precursor para la generación in situ de ácido perfórmico en combinación con peróxido de hidrógeno. Se empleó ácido fórmico 85% de grado analítico. Este reactivo actúa como componente clave en la etapa de epoxidación del aceite vegetal.</w:t>
      </w:r>
    </w:p>
    <w:p w:rsidR="00000000" w:rsidDel="00000000" w:rsidP="00000000" w:rsidRDefault="00000000" w:rsidRPr="00000000" w14:paraId="00000021">
      <w:pPr>
        <w:spacing w:line="276" w:lineRule="auto"/>
        <w:ind w:left="0"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spacing w:line="276" w:lineRule="auto"/>
        <w:ind w:left="0"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pStyle w:val="Heading2"/>
        <w:ind w:firstLine="141.73228346456688"/>
        <w:jc w:val="both"/>
        <w:rPr/>
      </w:pPr>
      <w:bookmarkStart w:colFirst="0" w:colLast="0" w:name="_rk7k9v8xdtvi" w:id="5"/>
      <w:bookmarkEnd w:id="5"/>
      <w:r w:rsidDel="00000000" w:rsidR="00000000" w:rsidRPr="00000000">
        <w:rPr>
          <w:rtl w:val="0"/>
        </w:rPr>
        <w:t xml:space="preserve">3.#.# Agua destilada</w:t>
      </w:r>
    </w:p>
    <w:p w:rsidR="00000000" w:rsidDel="00000000" w:rsidP="00000000" w:rsidRDefault="00000000" w:rsidRPr="00000000" w14:paraId="00000024">
      <w:pPr>
        <w:spacing w:line="276" w:lineRule="auto"/>
        <w:ind w:left="0"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utilizó para la preparación de soluciones acuosas y </w:t>
      </w:r>
      <w:r w:rsidDel="00000000" w:rsidR="00000000" w:rsidRPr="00000000">
        <w:rPr>
          <w:rFonts w:ascii="Calibri" w:cs="Calibri" w:eastAsia="Calibri" w:hAnsi="Calibri"/>
          <w:sz w:val="24"/>
          <w:szCs w:val="24"/>
          <w:rtl w:val="0"/>
        </w:rPr>
        <w:t xml:space="preserve">diluciones</w:t>
      </w:r>
      <w:r w:rsidDel="00000000" w:rsidR="00000000" w:rsidRPr="00000000">
        <w:rPr>
          <w:rFonts w:ascii="Calibri" w:cs="Calibri" w:eastAsia="Calibri" w:hAnsi="Calibri"/>
          <w:sz w:val="24"/>
          <w:szCs w:val="24"/>
          <w:rtl w:val="0"/>
        </w:rPr>
        <w:t xml:space="preserve"> de reactivos, en particular para la preparación de ácido sulfúrico diluido. Se empleó agua destilada de laboratorio, sin tratamiento adicional.</w:t>
      </w:r>
    </w:p>
    <w:p w:rsidR="00000000" w:rsidDel="00000000" w:rsidP="00000000" w:rsidRDefault="00000000" w:rsidRPr="00000000" w14:paraId="00000025">
      <w:pPr>
        <w:spacing w:line="276" w:lineRule="auto"/>
        <w:ind w:left="0"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spacing w:line="276" w:lineRule="auto"/>
        <w:ind w:left="0"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pStyle w:val="Heading2"/>
        <w:ind w:firstLine="141.73228346456688"/>
        <w:jc w:val="both"/>
        <w:rPr/>
      </w:pPr>
      <w:bookmarkStart w:colFirst="0" w:colLast="0" w:name="_xtvnyf367a0a" w:id="6"/>
      <w:bookmarkEnd w:id="6"/>
      <w:r w:rsidDel="00000000" w:rsidR="00000000" w:rsidRPr="00000000">
        <w:rPr>
          <w:rtl w:val="0"/>
        </w:rPr>
        <w:t xml:space="preserve">3.#.# Ácido sulfúrico 98%</w:t>
      </w:r>
    </w:p>
    <w:p w:rsidR="00000000" w:rsidDel="00000000" w:rsidP="00000000" w:rsidRDefault="00000000" w:rsidRPr="00000000" w14:paraId="00000028">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Fue utilizado como catalizador ácido en el sistema de reacción. A partir de la primera síntesis se estableció como procedimiento estándar la dilución previa del ácido sulfúrico. Se utilizó una relación volumétrica H</w:t>
      </w:r>
      <w:r w:rsidDel="00000000" w:rsidR="00000000" w:rsidRPr="00000000">
        <w:rPr>
          <w:rFonts w:ascii="Calibri" w:cs="Calibri" w:eastAsia="Calibri" w:hAnsi="Calibri"/>
          <w:sz w:val="24"/>
          <w:szCs w:val="24"/>
          <w:vertAlign w:val="subscript"/>
          <w:rtl w:val="0"/>
        </w:rPr>
        <w:t xml:space="preserve">2</w:t>
      </w:r>
      <w:r w:rsidDel="00000000" w:rsidR="00000000" w:rsidRPr="00000000">
        <w:rPr>
          <w:rFonts w:ascii="Calibri" w:cs="Calibri" w:eastAsia="Calibri" w:hAnsi="Calibri"/>
          <w:sz w:val="24"/>
          <w:szCs w:val="24"/>
          <w:rtl w:val="0"/>
        </w:rPr>
        <w:t xml:space="preserve">SO</w:t>
      </w:r>
      <w:r w:rsidDel="00000000" w:rsidR="00000000" w:rsidRPr="00000000">
        <w:rPr>
          <w:rFonts w:ascii="Calibri" w:cs="Calibri" w:eastAsia="Calibri" w:hAnsi="Calibri"/>
          <w:sz w:val="24"/>
          <w:szCs w:val="24"/>
          <w:vertAlign w:val="subscript"/>
          <w:rtl w:val="0"/>
        </w:rPr>
        <w:t xml:space="preserve">4</w:t>
      </w:r>
      <w:r w:rsidDel="00000000" w:rsidR="00000000" w:rsidRPr="00000000">
        <w:rPr>
          <w:rFonts w:ascii="Calibri" w:cs="Calibri" w:eastAsia="Calibri" w:hAnsi="Calibri"/>
          <w:sz w:val="24"/>
          <w:szCs w:val="24"/>
          <w:rtl w:val="0"/>
        </w:rPr>
        <w:t xml:space="preserve"> 98% : agua destilada = 1 : 9. La solución diluida cumple con un tiempo de reposo de 24 horas previo a su uso. Esta modificación se implementó para evitar la degradación observable (oscurecimiento) del aceite al contacto directo con el ácido concentrado y mejorar la reproducibilidad de las síntesis.</w:t>
      </w:r>
    </w:p>
    <w:p w:rsidR="00000000" w:rsidDel="00000000" w:rsidP="00000000" w:rsidRDefault="00000000" w:rsidRPr="00000000" w14:paraId="00000029">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A">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pStyle w:val="Heading1"/>
        <w:rPr/>
      </w:pPr>
      <w:bookmarkStart w:colFirst="0" w:colLast="0" w:name="_8qprf6c831cx" w:id="7"/>
      <w:bookmarkEnd w:id="7"/>
      <w:r w:rsidDel="00000000" w:rsidR="00000000" w:rsidRPr="00000000">
        <w:rPr>
          <w:rtl w:val="0"/>
        </w:rPr>
        <w:t xml:space="preserve">3.# Epóxidos y polioles de referencia</w:t>
      </w:r>
    </w:p>
    <w:p w:rsidR="00000000" w:rsidDel="00000000" w:rsidP="00000000" w:rsidRDefault="00000000" w:rsidRPr="00000000" w14:paraId="0000002D">
      <w:pPr>
        <w:spacing w:line="276" w:lineRule="auto"/>
        <w:ind w:firstLine="141.73228346456688"/>
        <w:jc w:val="both"/>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2E">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utilizaron materiales comerciales y de origen industrial como referencia para la interpretación de resultados y validación cualitativa de los métodos analíticos. Estos incluyeron polioles y epóxidos derivados de aceite de soja tales como SBO-P-Fanol390, SBO-P-Cargill, SBO-P-IPQA, SBO-E-Cargill y SBO-E-IPQA.</w:t>
      </w:r>
    </w:p>
    <w:p w:rsidR="00000000" w:rsidDel="00000000" w:rsidP="00000000" w:rsidRDefault="00000000" w:rsidRPr="00000000" w14:paraId="0000002F">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Estos materiales no forman parte de las síntesis desarrolladas en este trabajo, sino que se emplearon como referencia externa para comparar propiedades fisicoquímicas (OHV, IV, AV, viscosidad) y comportamiento espectral (FTIR, RMN).</w:t>
      </w:r>
    </w:p>
    <w:p w:rsidR="00000000" w:rsidDel="00000000" w:rsidP="00000000" w:rsidRDefault="00000000" w:rsidRPr="00000000" w14:paraId="00000030">
      <w:pPr>
        <w:spacing w:line="276" w:lineRule="auto"/>
        <w:ind w:left="0"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spacing w:line="276" w:lineRule="auto"/>
        <w:ind w:left="0"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spacing w:line="276" w:lineRule="auto"/>
        <w:ind w:left="0" w:firstLine="141.73228346456688"/>
        <w:jc w:val="both"/>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33">
      <w:pPr>
        <w:pStyle w:val="Heading1"/>
        <w:ind w:firstLine="141.73228346456688"/>
        <w:jc w:val="both"/>
        <w:rPr/>
      </w:pPr>
      <w:bookmarkStart w:colFirst="0" w:colLast="0" w:name="_fhoohcmniw0s" w:id="8"/>
      <w:bookmarkEnd w:id="8"/>
      <w:r w:rsidDel="00000000" w:rsidR="00000000" w:rsidRPr="00000000">
        <w:rPr>
          <w:rtl w:val="0"/>
        </w:rPr>
        <w:t xml:space="preserve">3.# Sistema de reacción: </w:t>
      </w:r>
      <w:r w:rsidDel="00000000" w:rsidR="00000000" w:rsidRPr="00000000">
        <w:rPr>
          <w:sz w:val="28"/>
          <w:szCs w:val="28"/>
          <w:rtl w:val="0"/>
        </w:rPr>
        <w:t xml:space="preserve">Protocolo base operativo para la síntesis y el acondicionamiento de polioles derivados de aceite de soja</w:t>
      </w:r>
      <w:r w:rsidDel="00000000" w:rsidR="00000000" w:rsidRPr="00000000">
        <w:rPr>
          <w:rtl w:val="0"/>
        </w:rPr>
      </w:r>
    </w:p>
    <w:p w:rsidR="00000000" w:rsidDel="00000000" w:rsidP="00000000" w:rsidRDefault="00000000" w:rsidRPr="00000000" w14:paraId="00000034">
      <w:pPr>
        <w:spacing w:line="276" w:lineRule="auto"/>
        <w:ind w:left="0"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spacing w:line="276" w:lineRule="auto"/>
        <w:ind w:left="0"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síntesis se llevaron a cabo en un sistema tipo one-pot, basado en la generación in situ del agente oxidante (ácido perfórmico) a partir de la reacción entre ácido fórmico y peróxido de hidrógeno. Este enfoque permite integrar en un único medio la etapa de epoxidación del aceite vegetal y la posterior apertura del anillo oxirano, evitando etapas intermedias de aislamiento.  </w:t>
      </w:r>
    </w:p>
    <w:p w:rsidR="00000000" w:rsidDel="00000000" w:rsidP="00000000" w:rsidRDefault="00000000" w:rsidRPr="00000000" w14:paraId="00000036">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fines de trazabilidad metodológica, en esta sección se describe el protocolo base de trabajo utilizado para las síntesis one-pot a escala piloto de polioles derivados de aceite de soja, junto con las operaciones generales de acondicionamiento del lote principal y el tratamiento estándar de muestras. Este protocolo no debe interpretarse como una secuencia rígida aplicada de manera idéntica a todas las corridas, sino como una base operativa común sobre la cual se introdujeron variantes deliberadas a lo largo del desarrollo experimental.  La evolución histórica de dichas variantes, así como su justificación metodológica, se discuten en el capítulo 4.</w:t>
      </w:r>
    </w:p>
    <w:p w:rsidR="00000000" w:rsidDel="00000000" w:rsidP="00000000" w:rsidRDefault="00000000" w:rsidRPr="00000000" w14:paraId="00000037">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particular, la transición de este esquema a escala piloto no se abordó como una extrapolación trivial de procedimientos de laboratorio. La operación del reactor, el control térmico, la separación de fases, el downstream y el tratamiento de muestras debieron estabilizarse de manera iterativa, ya que varias de estas restricciones aparecen o se intensifican justamente en este rango de escala. </w:t>
      </w:r>
    </w:p>
    <w:p w:rsidR="00000000" w:rsidDel="00000000" w:rsidP="00000000" w:rsidRDefault="00000000" w:rsidRPr="00000000" w14:paraId="00000038">
      <w:pPr>
        <w:spacing w:line="276" w:lineRule="auto"/>
        <w:ind w:firstLine="141.73228346456688"/>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9">
      <w:pPr>
        <w:spacing w:line="276" w:lineRule="auto"/>
        <w:ind w:firstLine="141.73228346456688"/>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A">
      <w:pPr>
        <w:pStyle w:val="Heading2"/>
        <w:ind w:firstLine="141.73228346456688"/>
        <w:jc w:val="both"/>
        <w:rPr/>
      </w:pPr>
      <w:bookmarkStart w:colFirst="0" w:colLast="0" w:name="_e0w5cxpx5ta4" w:id="9"/>
      <w:bookmarkEnd w:id="9"/>
      <w:r w:rsidDel="00000000" w:rsidR="00000000" w:rsidRPr="00000000">
        <w:rPr>
          <w:rtl w:val="0"/>
        </w:rPr>
        <w:t xml:space="preserve">3.#.# Configuración del reactor</w:t>
      </w:r>
    </w:p>
    <w:p w:rsidR="00000000" w:rsidDel="00000000" w:rsidP="00000000" w:rsidRDefault="00000000" w:rsidRPr="00000000" w14:paraId="0000003B">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reacciones se realizaron en un reactor de vidrio encamisado de 1000 mL, equipado con agitación mecánica. Se utilizó un agitador de eje centrado con paletas planas de teflón, operando a una velocidad constante de 200 rpm. </w:t>
      </w:r>
    </w:p>
    <w:p w:rsidR="00000000" w:rsidDel="00000000" w:rsidP="00000000" w:rsidRDefault="00000000" w:rsidRPr="00000000" w14:paraId="0000003D">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control de temperatura se efectuó mediante circulación de fluido térmico desde un baño termostatizado (marca Lauda modelo ###), conectado a la camisa del reactor. </w:t>
      </w:r>
    </w:p>
    <w:p w:rsidR="00000000" w:rsidDel="00000000" w:rsidP="00000000" w:rsidRDefault="00000000" w:rsidRPr="00000000" w14:paraId="0000003E">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peróxido de hidrógeno se adicionó de manera continua mediante una bomba peristáltica (marca LongPump modelo ##), a un caudal constante de 1,8 mL/min. Esta dosificación controlada permitió regular la velocidad de generación de ácido perfórmico y, en consecuencia, el calor generado y la cinética de epoxidación. </w:t>
      </w:r>
    </w:p>
    <w:p w:rsidR="00000000" w:rsidDel="00000000" w:rsidP="00000000" w:rsidRDefault="00000000" w:rsidRPr="00000000" w14:paraId="0000003F">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Todas las síntesis se realizaron bajo condiciones atmosféricas y sin control de atmósfera inerte.</w:t>
      </w:r>
    </w:p>
    <w:p w:rsidR="00000000" w:rsidDel="00000000" w:rsidP="00000000" w:rsidRDefault="00000000" w:rsidRPr="00000000" w14:paraId="00000040">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pStyle w:val="Heading2"/>
        <w:ind w:firstLine="141.73228346456688"/>
        <w:jc w:val="both"/>
        <w:rPr/>
      </w:pPr>
      <w:bookmarkStart w:colFirst="0" w:colLast="0" w:name="_80pqwfnj2cbr" w:id="10"/>
      <w:bookmarkEnd w:id="10"/>
      <w:r w:rsidDel="00000000" w:rsidR="00000000" w:rsidRPr="00000000">
        <w:rPr>
          <w:rtl w:val="0"/>
        </w:rPr>
        <w:t xml:space="preserve">3.#.# Definición operativa del tiempo de reacción</w:t>
      </w:r>
    </w:p>
    <w:p w:rsidR="00000000" w:rsidDel="00000000" w:rsidP="00000000" w:rsidRDefault="00000000" w:rsidRPr="00000000" w14:paraId="00000044">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definió el tiempo cero de reacción (t</w:t>
      </w:r>
      <w:r w:rsidDel="00000000" w:rsidR="00000000" w:rsidRPr="00000000">
        <w:rPr>
          <w:rFonts w:ascii="Calibri" w:cs="Calibri" w:eastAsia="Calibri" w:hAnsi="Calibri"/>
          <w:sz w:val="24"/>
          <w:szCs w:val="24"/>
          <w:vertAlign w:val="subscript"/>
          <w:rtl w:val="0"/>
        </w:rPr>
        <w:t xml:space="preserve">0</w:t>
      </w:r>
      <w:r w:rsidDel="00000000" w:rsidR="00000000" w:rsidRPr="00000000">
        <w:rPr>
          <w:rFonts w:ascii="Calibri" w:cs="Calibri" w:eastAsia="Calibri" w:hAnsi="Calibri"/>
          <w:sz w:val="24"/>
          <w:szCs w:val="24"/>
          <w:rtl w:val="0"/>
        </w:rPr>
        <w:t xml:space="preserve">) como el instante correspondiente al ingreso de la primera gota de peróxido de hidrógeno al reactor. Esta definición permite establecer un punto de referencia reproducible para el seguimiento cinético del sistema, independientemente de las variaciones en los tiempos de carga de los reactivos previos.</w:t>
      </w:r>
    </w:p>
    <w:p w:rsidR="00000000" w:rsidDel="00000000" w:rsidP="00000000" w:rsidRDefault="00000000" w:rsidRPr="00000000" w14:paraId="00000046">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adopción de esta convención asegura la comparabilidad entre distintas corridas experimentales, especialmente en un sistema donde la generación del agente oxidante ocurre in situ y depende directamente del inicio de la dosificación de peróxido.</w:t>
      </w:r>
    </w:p>
    <w:p w:rsidR="00000000" w:rsidDel="00000000" w:rsidP="00000000" w:rsidRDefault="00000000" w:rsidRPr="00000000" w14:paraId="00000047">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pStyle w:val="Heading2"/>
        <w:ind w:firstLine="141.73228346456688"/>
        <w:jc w:val="both"/>
        <w:rPr/>
      </w:pPr>
      <w:bookmarkStart w:colFirst="0" w:colLast="0" w:name="_2l9jg8hfzk27" w:id="11"/>
      <w:bookmarkEnd w:id="11"/>
      <w:r w:rsidDel="00000000" w:rsidR="00000000" w:rsidRPr="00000000">
        <w:rPr>
          <w:rtl w:val="0"/>
        </w:rPr>
        <w:t xml:space="preserve">3.#.# Formulación base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formulación de referencia del sistema correspondió a 400 mL de aceite de soja crudo, 36,36 mL de solución de H2SO4 diluido 1:9, 80 mL de HCOOH y 204,36 mL de H2O2 al 30%, dentro de un esquema one-pot basado en la generación in situ de ácido perfórmico. Esta formulación se adoptó como base metodológica para una parte importante de las síntesis del proyecto, aunque su aplicación no debe interpretarse como una condición rígida para todas las corridas.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Desde el punto de vista de las relaciones molares, la formulación base combina una carga relativamente baja de H2SO4 respecto del aceite, con excesos molares de HCOOH y H2O2 respecto de las insaturaciones estimadas del sustrato. A su vez, la cantidad total de agua del sistema no es despreciable, ya que proviene tanto de la dilución previa del H2SO4 como del contenido acuoso de los reactivos comerciales. Por ello, la formulación debe interpretarse como un equilibrio operativo entre especies oxidantes, medio ácido y carga total de agua dentro del reactor.</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Tabla ##: Composición y relaciones molares de la formulación base de referencia.</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3.2222222222222"/>
        <w:gridCol w:w="1003.2222222222222"/>
        <w:gridCol w:w="1003.2222222222222"/>
        <w:gridCol w:w="1003.2222222222222"/>
        <w:gridCol w:w="1003.2222222222222"/>
        <w:gridCol w:w="1003.2222222222222"/>
        <w:gridCol w:w="1003.2222222222222"/>
        <w:gridCol w:w="1003.2222222222222"/>
        <w:gridCol w:w="1003.2222222222222"/>
        <w:tblGridChange w:id="0">
          <w:tblGrid>
            <w:gridCol w:w="1003.2222222222222"/>
            <w:gridCol w:w="1003.2222222222222"/>
            <w:gridCol w:w="1003.2222222222222"/>
            <w:gridCol w:w="1003.2222222222222"/>
            <w:gridCol w:w="1003.2222222222222"/>
            <w:gridCol w:w="1003.2222222222222"/>
            <w:gridCol w:w="1003.2222222222222"/>
            <w:gridCol w:w="1003.2222222222222"/>
            <w:gridCol w:w="1003.222222222222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Pureza</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p/p</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v/v</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[eq]</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Relación molar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Relación eq</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 crudo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H2SO4 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H2O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HCOOH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H2O2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H2O2 reactivos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23,08</w:t>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partir de esta formulación pueden identificarse algunas relaciones relevantes para interpretar el medio reactivo de referencia.</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Tabla ##: Relaciones derivadas relevantes para la interpretación de la formulación base.</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Relación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w:t>
            </w:r>
          </w:p>
          <w:p w:rsidR="00000000" w:rsidDel="00000000" w:rsidP="00000000" w:rsidRDefault="00000000" w:rsidRPr="00000000" w14:paraId="0000009C">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w:t>
            </w:r>
          </w:p>
          <w:p w:rsidR="00000000" w:rsidDel="00000000" w:rsidP="00000000" w:rsidRDefault="00000000" w:rsidRPr="00000000" w14:paraId="0000009E">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w:t>
            </w:r>
          </w:p>
          <w:p w:rsidR="00000000" w:rsidDel="00000000" w:rsidP="00000000" w:rsidRDefault="00000000" w:rsidRPr="00000000" w14:paraId="000000A0">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[eq]</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Relación molar</w:t>
            </w:r>
          </w:p>
          <w:p w:rsidR="00000000" w:rsidDel="00000000" w:rsidP="00000000" w:rsidRDefault="00000000" w:rsidRPr="00000000" w14:paraId="000000A2">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Relación eq</w:t>
            </w:r>
          </w:p>
          <w:p w:rsidR="00000000" w:rsidDel="00000000" w:rsidP="00000000" w:rsidRDefault="00000000" w:rsidRPr="00000000" w14:paraId="000000A4">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H2O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H2O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 (H2SO4)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 (HCOOH)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 (H2SO4+HCOOH)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C=C (4,5xSBO)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H2O2/C=C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H2SO4/C=C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HCOOH/C=C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H2SO4/aceite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HCOOH/aceite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A">
      <w:pPr>
        <w:pStyle w:val="Heading2"/>
        <w:spacing w:after="0" w:before="0" w:line="276" w:lineRule="auto"/>
        <w:ind w:firstLine="141.73228346456688"/>
        <w:rPr>
          <w:sz w:val="28"/>
          <w:szCs w:val="28"/>
        </w:rPr>
      </w:pPr>
      <w:bookmarkStart w:colFirst="0" w:colLast="0" w:name="_9gbimtn0pqp3" w:id="12"/>
      <w:bookmarkEnd w:id="12"/>
      <w:r w:rsidDel="00000000" w:rsidR="00000000" w:rsidRPr="00000000">
        <w:rPr>
          <w:rtl w:val="0"/>
        </w:rPr>
        <w:t xml:space="preserve">3.#.# </w:t>
      </w:r>
      <w:r w:rsidDel="00000000" w:rsidR="00000000" w:rsidRPr="00000000">
        <w:rPr>
          <w:sz w:val="28"/>
          <w:szCs w:val="28"/>
          <w:rtl w:val="0"/>
        </w:rPr>
        <w:t xml:space="preserve">Perfil térmico de síntesis</w:t>
      </w:r>
    </w:p>
    <w:p w:rsidR="00000000" w:rsidDel="00000000" w:rsidP="00000000" w:rsidRDefault="00000000" w:rsidRPr="00000000" w14:paraId="000000EB">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la síntesis, la temperatura se registró en dos niveles: temperatura del baño termostatizado y temperatura interna del reactor.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condición inicial, el sistema se mantuvo a 25 °C durante 30 minutos con agitación antes del inicio del tiempo de reacción. Luego se aplicó un perfil térmico escalonado sobre la camisa del reactor.</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perfil térmico de referencia fue el siguiente: 25 °C a los 0 minutos; transición a 35 °C a los 30 minutos; transición a 45 °C a los 60 minutos; transición a 50 °C a los 90 minutos; y 60 °C desde los 210 minutos hasta el final de cada síntesis. </w:t>
      </w:r>
    </w:p>
    <w:p w:rsidR="00000000" w:rsidDel="00000000" w:rsidP="00000000" w:rsidRDefault="00000000" w:rsidRPr="00000000" w14:paraId="000000EF">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0">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1">
      <w:pPr>
        <w:pStyle w:val="Heading2"/>
        <w:spacing w:after="0" w:before="0" w:line="276" w:lineRule="auto"/>
        <w:ind w:firstLine="141.73228346456688"/>
        <w:rPr>
          <w:i w:val="1"/>
          <w:iCs w:val="1"/>
          <w:sz w:val="28"/>
          <w:szCs w:val="28"/>
        </w:rPr>
      </w:pPr>
      <w:bookmarkStart w:colFirst="0" w:colLast="0" w:name="_90rff33gofzk" w:id="13"/>
      <w:bookmarkEnd w:id="13"/>
      <w:r w:rsidDel="00000000" w:rsidR="00000000" w:rsidRPr="00000000">
        <w:rPr>
          <w:rtl w:val="0"/>
        </w:rPr>
        <w:t xml:space="preserve">3.#.# Protocolo de </w:t>
      </w:r>
      <w:r w:rsidDel="00000000" w:rsidR="00000000" w:rsidRPr="00000000">
        <w:rPr>
          <w:i w:val="1"/>
          <w:iCs w:val="1"/>
          <w:rtl w:val="0"/>
        </w:rPr>
        <w:t xml:space="preserve">d</w:t>
      </w:r>
      <w:r w:rsidDel="00000000" w:rsidR="00000000" w:rsidRPr="00000000">
        <w:rPr>
          <w:i w:val="1"/>
          <w:iCs w:val="1"/>
          <w:sz w:val="28"/>
          <w:szCs w:val="28"/>
          <w:rtl w:val="0"/>
        </w:rPr>
        <w:t xml:space="preserve">ownstream</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Finalizada la reacción, el lote principal ingresó a una secuencia downstream orientada a obtener un material suficientemente acondicionado para su caracterización posterior. En el esquema base de 24 horas, el tratamiento comprendió reducción del medio, lavado, neutralización, remoción de especies volátiles y secado final.</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términos operativos, el protocolo final de downstream está compuesto por una separación de la fase acuosa después del tiempo de síntesis, adición sucesiva de 250 mL de solución de Na2SO3 al 5%, seguida de agitación durante 30 minutos. Se continúa con la decantación durante 60 minutos y el retiro de fase acuosa. Luego se aplica una etapa análoga con 250 mL de agua destilada, y finalmente una etapa de neutralización con 250 mL de NaHCO3 al 5%. La fase orgánica se sometió posteriormente a rotavapor, seguido del secado en estufa de vacío. Este procedimiento se consideró un protocolo base de acondicionamiento. La combinación precisa de neutralizante y condiciones de secado dependen de la síntesis y de la etapa histórica del proyecto. Las variantes de reducción, neutralización y secado que surgieron a lo largo del proyecto se desarrollan y justifican en el capítulo 4 como parte de la evolución metodológica.</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6">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7">
      <w:pPr>
        <w:pStyle w:val="Heading2"/>
        <w:spacing w:after="0" w:before="0" w:line="276" w:lineRule="auto"/>
        <w:ind w:firstLine="141.73228346456688"/>
        <w:rPr>
          <w:sz w:val="28"/>
          <w:szCs w:val="28"/>
        </w:rPr>
      </w:pPr>
      <w:bookmarkStart w:colFirst="0" w:colLast="0" w:name="_ipq44hflvdo4" w:id="14"/>
      <w:bookmarkEnd w:id="14"/>
      <w:r w:rsidDel="00000000" w:rsidR="00000000" w:rsidRPr="00000000">
        <w:rPr>
          <w:rtl w:val="0"/>
        </w:rPr>
        <w:t xml:space="preserve">3.#.# Protocolo de m</w:t>
      </w:r>
      <w:r w:rsidDel="00000000" w:rsidR="00000000" w:rsidRPr="00000000">
        <w:rPr>
          <w:sz w:val="28"/>
          <w:szCs w:val="28"/>
          <w:rtl w:val="0"/>
        </w:rPr>
        <w:t xml:space="preserve">uestreo</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la síntesis se extrajeron muestras de aproximadamente 20 g con fines de seguimiento cinético y de posterior caracterización. En el esquema base de muestreo se tomaron alícuotas a 0, 1, 2, 3, 4, 5, 6, 12 y 24 horas de reacción.</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las síntesis tardías del proyecto, el tratamiento estándar de muestras consistió en la adición de 20 mL de Na2SO3 al 5%, seguida de centrifugación y retiro de fase acuosa. Luego 20 mL de agua destilada, con centrifugación y retiro de fase acuosa. Finalmente 20 mL de NaHCO3 al 5%, nuevamente con centrifugación y separación de fase. Después del tratamiento húmedo, las muestras se secaron en una estufa de vacío.</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procedimiento no debe interpretarse como una miniaturización exacta del </w:t>
      </w:r>
      <w:r w:rsidDel="00000000" w:rsidR="00000000" w:rsidRPr="00000000">
        <w:rPr>
          <w:rFonts w:ascii="Calibri" w:cs="Calibri" w:eastAsia="Calibri" w:hAnsi="Calibri"/>
          <w:i w:val="1"/>
          <w:iCs w:val="1"/>
          <w:sz w:val="24"/>
          <w:szCs w:val="24"/>
          <w:rtl w:val="0"/>
        </w:rPr>
        <w:t xml:space="preserve">downstream </w:t>
      </w:r>
      <w:r w:rsidDel="00000000" w:rsidR="00000000" w:rsidRPr="00000000">
        <w:rPr>
          <w:rFonts w:ascii="Calibri" w:cs="Calibri" w:eastAsia="Calibri" w:hAnsi="Calibri"/>
          <w:sz w:val="24"/>
          <w:szCs w:val="24"/>
          <w:rtl w:val="0"/>
        </w:rPr>
        <w:t xml:space="preserve">del lote principal, sino como un protocolo específico de acondicionamiento de muestras. A medida que aumentó la viscosidad del sistema, algunas operaciones inicialmente viables en tubos Falcon con agitación tipo vortex dejaron de ser satisfactorias, por lo que fue necesario adaptarlas a recipientes y modos de mezclado según la tratabilidad real de cada muestra.</w:t>
      </w:r>
      <w:r w:rsidDel="00000000" w:rsidR="00000000" w:rsidRPr="00000000">
        <w:rPr>
          <w:rtl w:val="0"/>
        </w:rPr>
      </w:r>
    </w:p>
    <w:p w:rsidR="00000000" w:rsidDel="00000000" w:rsidP="00000000" w:rsidRDefault="00000000" w:rsidRPr="00000000" w14:paraId="000000FC">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D">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E">
      <w:pPr>
        <w:pStyle w:val="Heading2"/>
        <w:ind w:firstLine="141.73228346456688"/>
        <w:rPr/>
      </w:pPr>
      <w:bookmarkStart w:colFirst="0" w:colLast="0" w:name="_ggtup2avx0se" w:id="15"/>
      <w:bookmarkEnd w:id="15"/>
      <w:r w:rsidDel="00000000" w:rsidR="00000000" w:rsidRPr="00000000">
        <w:rPr>
          <w:rtl w:val="0"/>
        </w:rPr>
        <w:t xml:space="preserve">3.#.# Evolución metodológica del protocolo</w:t>
      </w:r>
    </w:p>
    <w:p w:rsidR="00000000" w:rsidDel="00000000" w:rsidP="00000000" w:rsidRDefault="00000000" w:rsidRPr="00000000" w14:paraId="000000FF">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0">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protocolo experimental fue ajustado iterativamente en función de observaciones realizadas durante las distintas corridas de síntesis. El registro de estas modificaciones se mantuvo separado de la interpretación química de los resultados, con el objetivo de preservar trazabilidad metodológica del proceso y evitar la incorporación de sesgos en el análisis de los datos experimentales.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3">
      <w:pPr>
        <w:pStyle w:val="Heading1"/>
        <w:ind w:firstLine="141.73228346456688"/>
        <w:jc w:val="both"/>
        <w:rPr/>
      </w:pPr>
      <w:bookmarkStart w:colFirst="0" w:colLast="0" w:name="_rew0b8e8b59g" w:id="16"/>
      <w:bookmarkEnd w:id="16"/>
      <w:r w:rsidDel="00000000" w:rsidR="00000000" w:rsidRPr="00000000">
        <w:rPr>
          <w:rtl w:val="0"/>
        </w:rPr>
        <w:t xml:space="preserve">3.# Técnicas de caracterización</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espectros FTIR, FTIR-ATR, 1H-RMN, 13C-RMN, y los resultados de técnicas de IV, AV, OHV, viscosidad dinámica, humedad se almacenaron en su formato original en una base de datos online de Cloud Firestore, perteneciente a la plataforma de desarrollo Firebase. El procesamiento de esa información se realizó a través de código python. La interacción se llevó a cabo mediante el desarrollo de una aplicación web diseñada en Streamlit. Allí es posible comparar información intersíntesis e intrasíntesis, y con muestras de referencia, permitiendo el acceso y procesamiento sistemático de los datos experimentales.</w:t>
      </w:r>
    </w:p>
    <w:p w:rsidR="00000000" w:rsidDel="00000000" w:rsidP="00000000" w:rsidRDefault="00000000" w:rsidRPr="00000000" w14:paraId="00000106">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7">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8">
      <w:pPr>
        <w:pStyle w:val="Heading2"/>
        <w:ind w:firstLine="141.73228346456688"/>
        <w:jc w:val="both"/>
        <w:rPr/>
      </w:pPr>
      <w:bookmarkStart w:colFirst="0" w:colLast="0" w:name="_j73iulgevswd" w:id="17"/>
      <w:bookmarkEnd w:id="17"/>
      <w:r w:rsidDel="00000000" w:rsidR="00000000" w:rsidRPr="00000000">
        <w:rPr>
          <w:rtl w:val="0"/>
        </w:rPr>
        <w:t xml:space="preserve">3.#.# Determinación del Índice de Yodo (IV)</w:t>
      </w:r>
    </w:p>
    <w:p w:rsidR="00000000" w:rsidDel="00000000" w:rsidP="00000000" w:rsidRDefault="00000000" w:rsidRPr="00000000" w14:paraId="00000109">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A">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índice de yodo (IV) se determinó como medida del grado de insaturación de las muestras, expresado como gramos de yodo consumidos por 100 g de muestra. Esta técnica permite evaluar la conversión de dobles enlaces durante la etapa de epoxidación vegetal.</w:t>
      </w:r>
    </w:p>
    <w:p w:rsidR="00000000" w:rsidDel="00000000" w:rsidP="00000000" w:rsidRDefault="00000000" w:rsidRPr="00000000" w14:paraId="0000010B">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procedimiento se basó en la norma ASTM D1959. Se utilizó el método de Wijs basado en la adición de halógenos a los dobles enlaces carbono-carbono presentes en la muestra. En este método la muestra reacciona con una solución de monocloruro de iodo (ICl) en medio ácido, produciendo la adición electrofílica sobre las insaturaciones. El exceso de reactivos se cuantifica posteriormente por titulación con tiosulfato de sodio.</w:t>
      </w:r>
    </w:p>
    <w:p w:rsidR="00000000" w:rsidDel="00000000" w:rsidP="00000000" w:rsidRDefault="00000000" w:rsidRPr="00000000" w14:paraId="0000010C">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una determinación típica, una masa conocida de muestra se disolvió en un #etanol : tolueno 1 : 1# y se hizo reaccionar con un exceso de solución de Wijs bajo condiciones controladas de tiempo y oscuridad. Finalizado el tiempo de reacción, se adicionó yoduro de potasio para liberar yodo molecular a partir del reactivo no consumido. El yodo liberado se tituló con una solución estándar de tiosulfato de sodio, utilizando almidón como indicador del punto final.</w:t>
      </w:r>
    </w:p>
    <w:p w:rsidR="00000000" w:rsidDel="00000000" w:rsidP="00000000" w:rsidRDefault="00000000" w:rsidRPr="00000000" w14:paraId="0000010D">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índice de yodo se calculó a partir de la diferencia entre el volumen de titulante consumido en el blanco y en la muestra, según la ecuación ##. Todas las determinaciones se realizaron al menos por duplicado.</w:t>
      </w:r>
    </w:p>
    <w:p w:rsidR="00000000" w:rsidDel="00000000" w:rsidP="00000000" w:rsidRDefault="00000000" w:rsidRPr="00000000" w14:paraId="0000010E">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F">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727200"/>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line="276" w:lineRule="auto"/>
        <w:ind w:firstLine="141.73228346456688"/>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Ecuación ##: Índice de yodo ASTM D 1959</w:t>
      </w:r>
    </w:p>
    <w:p w:rsidR="00000000" w:rsidDel="00000000" w:rsidP="00000000" w:rsidRDefault="00000000" w:rsidRPr="00000000" w14:paraId="00000111">
      <w:pPr>
        <w:spacing w:line="276" w:lineRule="auto"/>
        <w:ind w:firstLine="141.73228346456688"/>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2">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3">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4">
      <w:pPr>
        <w:pStyle w:val="Heading2"/>
        <w:rPr/>
      </w:pPr>
      <w:bookmarkStart w:colFirst="0" w:colLast="0" w:name="_o5w9lhqlpi0r" w:id="18"/>
      <w:bookmarkEnd w:id="18"/>
      <w:r w:rsidDel="00000000" w:rsidR="00000000" w:rsidRPr="00000000">
        <w:rPr>
          <w:rtl w:val="0"/>
        </w:rPr>
        <w:t xml:space="preserve">3.#.# Índice de Acidez (AV)</w:t>
      </w:r>
    </w:p>
    <w:p w:rsidR="00000000" w:rsidDel="00000000" w:rsidP="00000000" w:rsidRDefault="00000000" w:rsidRPr="00000000" w14:paraId="00000115">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6">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índice de acidez (AV) se determinó como la cantidad de hidróxido de potasio, expresada en mg, necesaria para neutralizar los ácidos libres presentes en un gramo de muestra. El procedimiento se basó en la norma ASTM D4662. La determinación se realizó mediante titulación ácido-base de una masa conocida de muestra #en medio alcohólico# con una solución estándar de hidróxido de potasio de concentración conocida, utilizando fenolftaleína como indicador del punto final. Se realizó una corrección por blanco. el índice de acidez se calculó a partir del volumen de titulante consumido, la normalidad de la solución de KOH y la masa de muestra, según la ecuación ##. Todas las determinaciones se realizaron al menos por duplicado.</w:t>
      </w:r>
    </w:p>
    <w:p w:rsidR="00000000" w:rsidDel="00000000" w:rsidP="00000000" w:rsidRDefault="00000000" w:rsidRPr="00000000" w14:paraId="00000117">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8">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72720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line="276" w:lineRule="auto"/>
        <w:ind w:firstLine="141.73228346456688"/>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Ecuación ##: Índice de acidez ASTM D4662</w:t>
      </w:r>
    </w:p>
    <w:p w:rsidR="00000000" w:rsidDel="00000000" w:rsidP="00000000" w:rsidRDefault="00000000" w:rsidRPr="00000000" w14:paraId="0000011A">
      <w:pPr>
        <w:spacing w:line="276" w:lineRule="auto"/>
        <w:ind w:firstLine="141.73228346456688"/>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B">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C">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D">
      <w:pPr>
        <w:pStyle w:val="Heading2"/>
        <w:ind w:firstLine="141.73228346456688"/>
        <w:jc w:val="both"/>
        <w:rPr/>
      </w:pPr>
      <w:bookmarkStart w:colFirst="0" w:colLast="0" w:name="_buhd1gu8w730" w:id="19"/>
      <w:bookmarkEnd w:id="19"/>
      <w:r w:rsidDel="00000000" w:rsidR="00000000" w:rsidRPr="00000000">
        <w:rPr>
          <w:rtl w:val="0"/>
        </w:rPr>
        <w:t xml:space="preserve">3.#.# Basicidad en polioles</w:t>
      </w:r>
    </w:p>
    <w:p w:rsidR="00000000" w:rsidDel="00000000" w:rsidP="00000000" w:rsidRDefault="00000000" w:rsidRPr="00000000" w14:paraId="0000011E">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F">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basicidad de los polioles se determinó mediante titulación potenciométrica no acuosa, siguiendo la norma ASTM D6979. El método cuantifica los constituyentes básicos del poliol que son solubles en ácido acético glacial y reaccionan con ácido perclórico en medio acético, expresando el resultado como porcentaje de nitrógeno. Para ello, se pesó una masa de muestra calculada según el contenido esperado de nitrógeno (W=2/P), se disolvió en 100 mL de ácido acético glacial y se aplicó calentamiento suave hasta lograr una disolución homogénea. Luego, la disolución se tituló a temperatura ambiente con ácido perclórico 0,10 N en ácido acético, hasta alcanzar el punto final en 600 mV. Este método no mide basicidad total, sino la fracción de especies básicas solubles en ácido acético glacial y titulables con ácido perclórico. La basicidad se calculó como porcentaje de nitrógeno mediante la ecuación ##. </w:t>
      </w:r>
    </w:p>
    <w:p w:rsidR="00000000" w:rsidDel="00000000" w:rsidP="00000000" w:rsidRDefault="00000000" w:rsidRPr="00000000" w14:paraId="00000120">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1">
      <w:pPr>
        <w:spacing w:line="276" w:lineRule="auto"/>
        <w:ind w:firstLine="141.73228346456688"/>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4351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line="276" w:lineRule="auto"/>
        <w:ind w:firstLine="141.73228346456688"/>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Ecuación ##: Basicidad en polioles ASTM D6979</w:t>
      </w:r>
    </w:p>
    <w:p w:rsidR="00000000" w:rsidDel="00000000" w:rsidP="00000000" w:rsidRDefault="00000000" w:rsidRPr="00000000" w14:paraId="00000123">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4">
      <w:pPr>
        <w:spacing w:line="276" w:lineRule="auto"/>
        <w:ind w:firstLine="141.73228346456688"/>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5">
      <w:pPr>
        <w:pStyle w:val="Heading2"/>
        <w:ind w:firstLine="141.73228346456688"/>
        <w:jc w:val="both"/>
        <w:rPr/>
      </w:pPr>
      <w:bookmarkStart w:colFirst="0" w:colLast="0" w:name="_8ndnspl4f8w5" w:id="20"/>
      <w:bookmarkEnd w:id="20"/>
      <w:r w:rsidDel="00000000" w:rsidR="00000000" w:rsidRPr="00000000">
        <w:rPr>
          <w:rtl w:val="0"/>
        </w:rPr>
        <w:t xml:space="preserve">3.#.# Viscosidad Aparente</w:t>
      </w:r>
    </w:p>
    <w:p w:rsidR="00000000" w:rsidDel="00000000" w:rsidP="00000000" w:rsidRDefault="00000000" w:rsidRPr="00000000" w14:paraId="00000126">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7">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viscosidad aparente de las muestras se determinó mediante un reómetro rotacional Anton Paar Physica MCR 301, equipado con geometría de plato plano. Las mediciones se realizaron a temperatura controlada de 30 °C. La viscosidad aparente se registró en función de la velocidad de deformación (shear rate), variando el rango de 5 a 300 1/s.</w:t>
      </w:r>
    </w:p>
    <w:p w:rsidR="00000000" w:rsidDel="00000000" w:rsidP="00000000" w:rsidRDefault="00000000" w:rsidRPr="00000000" w14:paraId="00000128">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cada muestra se obtuvo la curva de viscosidad aparente en función de la velocidad de corte, evaluando el comportamiento reológico en el rango de operación definido. Con el fin de establecer un valor representativo y comparable entre muestras, la viscosidad se reportó al valor de la velocidad de corte de 192 1/s. En esta zona la medición es estable y representativa.</w:t>
      </w:r>
    </w:p>
    <w:p w:rsidR="00000000" w:rsidDel="00000000" w:rsidP="00000000" w:rsidRDefault="00000000" w:rsidRPr="00000000" w14:paraId="00000129">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A">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B">
      <w:pPr>
        <w:pStyle w:val="Heading2"/>
        <w:ind w:firstLine="141.73228346456688"/>
        <w:jc w:val="both"/>
        <w:rPr/>
      </w:pPr>
      <w:bookmarkStart w:colFirst="0" w:colLast="0" w:name="_6k6kbin97ton" w:id="21"/>
      <w:bookmarkEnd w:id="21"/>
      <w:r w:rsidDel="00000000" w:rsidR="00000000" w:rsidRPr="00000000">
        <w:rPr>
          <w:rtl w:val="0"/>
        </w:rPr>
        <w:t xml:space="preserve">3.#.# Determinación del contenido de agua (Karl Fisher)</w:t>
      </w:r>
    </w:p>
    <w:p w:rsidR="00000000" w:rsidDel="00000000" w:rsidP="00000000" w:rsidRDefault="00000000" w:rsidRPr="00000000" w14:paraId="0000012C">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D">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contenido de agua de las muestras se determinó mediante titulación Karl Fisher, técnica específica para la cuantificación de agua en matrices orgánicas. Las determinaciones fueron realizadas por un laboratorio externo (CEQUIMAP, Facultad de Ciencias Químicas, UNC), empleando el método Karl Fischer de acuerdo con la norma ASTM D4672, aplicable a polioles. </w:t>
      </w:r>
    </w:p>
    <w:p w:rsidR="00000000" w:rsidDel="00000000" w:rsidP="00000000" w:rsidRDefault="00000000" w:rsidRPr="00000000" w14:paraId="0000012E">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método se basa en la reacción estequiométrica del agua con yodo en presencia de dióxido de azufre y una base orgánica, permitiendo la cuantificación selectiva del contenido de agua en la muestra. La titulación puede realizarse mediante métodos volumétricos o coulombimétricos. En este caso, se utilizó la variante coulombimétrica, en la cual el yodo es generado electroquímicamente en la celda de titulación.</w:t>
      </w:r>
    </w:p>
    <w:p w:rsidR="00000000" w:rsidDel="00000000" w:rsidP="00000000" w:rsidRDefault="00000000" w:rsidRPr="00000000" w14:paraId="0000012F">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acuerdo con la normativa ASTM, la titulación Karl Fisher presenta alta sensibilidad y precisión, dependiendo de factores como la técnica empleada, el equipo y la naturaleza de la muestra. En particular, la variante coulombimétrica resulta especialmente adecuada para la determinación de bajos contenidos de agua, donde presenta mayor exactitud y sensibilidad respecto de la titulación volumétrica. En las determinaciones realizadas, el punto final fue detectado automáticamente por el equipo, garantizando alta sensibilidad y precisión en la cuantificación.</w:t>
      </w:r>
    </w:p>
    <w:p w:rsidR="00000000" w:rsidDel="00000000" w:rsidP="00000000" w:rsidRDefault="00000000" w:rsidRPr="00000000" w14:paraId="00000130">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método permite la determinación selectiva de agua, diferenciándose de otros compuestos volátiles presentes en la muestra. El contenido de agua se expresó como porcentaje en peso (% p/p) respecto de la masa inicial de muestra. En la titulación coulombimétrica, la cantidad de agua se determina a partir de la carga eléctrica necesaria para generar el yodo reactivo en la celda, de acuerdo con la ley de Faraday. El equipo realiza automáticamente ese cálculo y reporta el contenido de agua en la muestra.</w:t>
      </w:r>
    </w:p>
    <w:p w:rsidR="00000000" w:rsidDel="00000000" w:rsidP="00000000" w:rsidRDefault="00000000" w:rsidRPr="00000000" w14:paraId="00000131">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2">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3">
      <w:pPr>
        <w:pStyle w:val="Heading2"/>
        <w:ind w:firstLine="141.73228346456688"/>
        <w:jc w:val="both"/>
        <w:rPr>
          <w:sz w:val="24"/>
          <w:szCs w:val="24"/>
        </w:rPr>
      </w:pPr>
      <w:bookmarkStart w:colFirst="0" w:colLast="0" w:name="_mqmt29odpwq5" w:id="22"/>
      <w:bookmarkEnd w:id="22"/>
      <w:r w:rsidDel="00000000" w:rsidR="00000000" w:rsidRPr="00000000">
        <w:rPr>
          <w:sz w:val="28"/>
          <w:szCs w:val="28"/>
          <w:rtl w:val="0"/>
        </w:rPr>
        <w:t xml:space="preserve">3.#.# Determinación de contenido de compuestos volátiles</w:t>
      </w:r>
      <w:r w:rsidDel="00000000" w:rsidR="00000000" w:rsidRPr="00000000">
        <w:rPr>
          <w:sz w:val="24"/>
          <w:szCs w:val="24"/>
          <w:rtl w:val="0"/>
        </w:rPr>
        <w:t xml:space="preserve"> </w:t>
      </w:r>
    </w:p>
    <w:p w:rsidR="00000000" w:rsidDel="00000000" w:rsidP="00000000" w:rsidRDefault="00000000" w:rsidRPr="00000000" w14:paraId="00000134">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5">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contenido de compuestos volátiles en las muestras se determinó mediante un ensayo de pérdida de masa por tratamiento térmico. </w:t>
      </w:r>
    </w:p>
    <w:p w:rsidR="00000000" w:rsidDel="00000000" w:rsidP="00000000" w:rsidRDefault="00000000" w:rsidRPr="00000000" w14:paraId="00000136">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una determinación típica, una masa conocida de muestra se colocó en estufa a temperatura elevada durante un tiempo determinado, con el objetivo de eliminar componentes volátiles presentes en la fase orgánica.</w:t>
      </w:r>
    </w:p>
    <w:p w:rsidR="00000000" w:rsidDel="00000000" w:rsidP="00000000" w:rsidRDefault="00000000" w:rsidRPr="00000000" w14:paraId="00000137">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Finalizando el tratamiento, la muestra fue enfriada a temperatura ambiente y pesada nuevamente. El contenido de volátiles se calculó como a diferencia de masa antes y después del tratamiento térmico, expresada como porcentaje en peso (% p/p) respecto de la masa inicial (Ecuación ##).</w:t>
      </w:r>
    </w:p>
    <w:p w:rsidR="00000000" w:rsidDel="00000000" w:rsidP="00000000" w:rsidRDefault="00000000" w:rsidRPr="00000000" w14:paraId="00000138">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9">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##Ecuación %PCV##</w:t>
      </w:r>
    </w:p>
    <w:p w:rsidR="00000000" w:rsidDel="00000000" w:rsidP="00000000" w:rsidRDefault="00000000" w:rsidRPr="00000000" w14:paraId="0000013A">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B">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ensayo permite estimar de manera global la fracción de compuestos volátiles retenidos en la fase orgánica, sin distinguir entre las distintas especies presentes.</w:t>
      </w:r>
    </w:p>
    <w:p w:rsidR="00000000" w:rsidDel="00000000" w:rsidP="00000000" w:rsidRDefault="00000000" w:rsidRPr="00000000" w14:paraId="0000013C">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#temperatura y tiempo#</w:t>
      </w:r>
    </w:p>
    <w:p w:rsidR="00000000" w:rsidDel="00000000" w:rsidP="00000000" w:rsidRDefault="00000000" w:rsidRPr="00000000" w14:paraId="0000013D">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E">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F">
      <w:pPr>
        <w:pStyle w:val="Heading2"/>
        <w:ind w:firstLine="141.73228346456688"/>
        <w:jc w:val="both"/>
        <w:rPr/>
      </w:pPr>
      <w:bookmarkStart w:colFirst="0" w:colLast="0" w:name="_cywrcjmvpqmk" w:id="23"/>
      <w:bookmarkEnd w:id="23"/>
      <w:r w:rsidDel="00000000" w:rsidR="00000000" w:rsidRPr="00000000">
        <w:rPr>
          <w:rtl w:val="0"/>
        </w:rPr>
        <w:t xml:space="preserve">3.#.# ## Cromatografía en capa fina (TLC) ##</w:t>
      </w:r>
    </w:p>
    <w:p w:rsidR="00000000" w:rsidDel="00000000" w:rsidP="00000000" w:rsidRDefault="00000000" w:rsidRPr="00000000" w14:paraId="00000140">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1">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2">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3">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4">
      <w:pPr>
        <w:pStyle w:val="Heading2"/>
        <w:ind w:firstLine="141.73228346456688"/>
        <w:jc w:val="both"/>
        <w:rPr/>
      </w:pPr>
      <w:bookmarkStart w:colFirst="0" w:colLast="0" w:name="_ifguffphsa4z" w:id="24"/>
      <w:bookmarkEnd w:id="24"/>
      <w:r w:rsidDel="00000000" w:rsidR="00000000" w:rsidRPr="00000000">
        <w:rPr>
          <w:rtl w:val="0"/>
        </w:rPr>
        <w:t xml:space="preserve">3.#.# Espectroscopía FTIR</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equipo utilizado fue un espectrofotómetro FTIR marca PerkinElmer, modelo Spectrum Two. Los espectros obtenidos corresponden a la región infrarroja media (mid-IR) con número de onda desde 450 cm</w:t>
      </w:r>
      <w:r w:rsidDel="00000000" w:rsidR="00000000" w:rsidRPr="00000000">
        <w:rPr>
          <w:rFonts w:ascii="Calibri" w:cs="Calibri" w:eastAsia="Calibri" w:hAnsi="Calibri"/>
          <w:sz w:val="24"/>
          <w:szCs w:val="24"/>
          <w:vertAlign w:val="superscript"/>
          <w:rtl w:val="0"/>
        </w:rPr>
        <w:t xml:space="preserve">-1</w:t>
      </w:r>
      <w:r w:rsidDel="00000000" w:rsidR="00000000" w:rsidRPr="00000000">
        <w:rPr>
          <w:rFonts w:ascii="Calibri" w:cs="Calibri" w:eastAsia="Calibri" w:hAnsi="Calibri"/>
          <w:sz w:val="24"/>
          <w:szCs w:val="24"/>
          <w:rtl w:val="0"/>
        </w:rPr>
        <w:t xml:space="preserve"> hasta 4000 cm</w:t>
      </w:r>
      <w:r w:rsidDel="00000000" w:rsidR="00000000" w:rsidRPr="00000000">
        <w:rPr>
          <w:rFonts w:ascii="Calibri" w:cs="Calibri" w:eastAsia="Calibri" w:hAnsi="Calibri"/>
          <w:sz w:val="24"/>
          <w:szCs w:val="24"/>
          <w:vertAlign w:val="superscript"/>
          <w:rtl w:val="0"/>
        </w:rPr>
        <w:t xml:space="preserve">-1</w:t>
      </w:r>
      <w:r w:rsidDel="00000000" w:rsidR="00000000" w:rsidRPr="00000000">
        <w:rPr>
          <w:rFonts w:ascii="Calibri" w:cs="Calibri" w:eastAsia="Calibri" w:hAnsi="Calibri"/>
          <w:sz w:val="24"/>
          <w:szCs w:val="24"/>
          <w:rtl w:val="0"/>
        </w:rPr>
        <w:t xml:space="preserve">. El principio de funcionamiento del equipo se basa en un interferómetro de Michelson y la transformación del interferograma obtenido. Por esta razón, la muestra debe estar preferentemente diluída en un solvente adecuado. Los espectros fueron obtenidos en dos celdas diferentes. Una celda utiliza acetato de etilo como solvente de muestra y la otra celda utiliza cloroformo. Los espectros se utilizaron para la cuantificación de OHV y para la extracción de información estructural.</w:t>
      </w:r>
    </w:p>
    <w:p w:rsidR="00000000" w:rsidDel="00000000" w:rsidP="00000000" w:rsidRDefault="00000000" w:rsidRPr="00000000" w14:paraId="00000147">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8">
      <w:pPr>
        <w:spacing w:line="276" w:lineRule="auto"/>
        <w:ind w:firstLine="141.73228346456688"/>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49">
      <w:pPr>
        <w:pStyle w:val="Heading3"/>
        <w:rPr>
          <w:b w:val="1"/>
          <w:bCs w:val="1"/>
        </w:rPr>
      </w:pPr>
      <w:bookmarkStart w:colFirst="0" w:colLast="0" w:name="_h6bhrvsmzxku" w:id="25"/>
      <w:bookmarkEnd w:id="25"/>
      <w:r w:rsidDel="00000000" w:rsidR="00000000" w:rsidRPr="00000000">
        <w:rPr>
          <w:rtl w:val="0"/>
        </w:rPr>
        <w:t xml:space="preserve">3.#.#.# Espectroscopía FTIR para cuantificación OHV puntual</w:t>
      </w:r>
      <w:r w:rsidDel="00000000" w:rsidR="00000000" w:rsidRPr="00000000">
        <w:rPr>
          <w:rtl w:val="0"/>
        </w:rPr>
      </w:r>
    </w:p>
    <w:p w:rsidR="00000000" w:rsidDel="00000000" w:rsidP="00000000" w:rsidRDefault="00000000" w:rsidRPr="00000000" w14:paraId="0000014A">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B">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elaboró una curva de calibración con CO-Analítico tanto para la celda que utiliza acetato de etilo como solvente, como para la celda que utiliza cloroformo. De la misma se desprenden los parámetros utilizados para la cuantificación de OHV puntual.</w:t>
      </w:r>
    </w:p>
    <w:p w:rsidR="00000000" w:rsidDel="00000000" w:rsidP="00000000" w:rsidRDefault="00000000" w:rsidRPr="00000000" w14:paraId="0000014C">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D">
      <w:pPr>
        <w:spacing w:line="276" w:lineRule="auto"/>
        <w:ind w:left="720" w:hanging="578.267716535433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Parámetros para celda de acetato de etilo:</w:t>
      </w:r>
    </w:p>
    <w:p w:rsidR="00000000" w:rsidDel="00000000" w:rsidP="00000000" w:rsidRDefault="00000000" w:rsidRPr="00000000" w14:paraId="0000014E">
      <w:pPr>
        <w:spacing w:line="276" w:lineRule="auto"/>
        <w:ind w:left="720" w:hanging="578.267716535433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Número de onda grupos OH = 3548 cm-1</w:t>
      </w:r>
    </w:p>
    <w:p w:rsidR="00000000" w:rsidDel="00000000" w:rsidP="00000000" w:rsidRDefault="00000000" w:rsidRPr="00000000" w14:paraId="0000014F">
      <w:pPr>
        <w:spacing w:line="276" w:lineRule="auto"/>
        <w:ind w:left="720" w:hanging="578.267716535433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Pendiente = 1040,20 (mmol OH/L)/ABS</w:t>
      </w:r>
    </w:p>
    <w:p w:rsidR="00000000" w:rsidDel="00000000" w:rsidP="00000000" w:rsidRDefault="00000000" w:rsidRPr="00000000" w14:paraId="00000150">
      <w:pPr>
        <w:spacing w:line="276" w:lineRule="auto"/>
        <w:ind w:left="720" w:hanging="578.267716535433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Volumen de muestra = 0,90 mL</w:t>
      </w:r>
    </w:p>
    <w:p w:rsidR="00000000" w:rsidDel="00000000" w:rsidP="00000000" w:rsidRDefault="00000000" w:rsidRPr="00000000" w14:paraId="00000151">
      <w:pPr>
        <w:spacing w:line="276" w:lineRule="auto"/>
        <w:ind w:left="720" w:hanging="578.267716535433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Factor = 56,106 mg KOH/mmol OH</w:t>
      </w:r>
    </w:p>
    <w:p w:rsidR="00000000" w:rsidDel="00000000" w:rsidP="00000000" w:rsidRDefault="00000000" w:rsidRPr="00000000" w14:paraId="00000152">
      <w:pPr>
        <w:spacing w:line="276" w:lineRule="auto"/>
        <w:ind w:left="720" w:hanging="578.2677165354331"/>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3">
      <w:pPr>
        <w:spacing w:line="276" w:lineRule="auto"/>
        <w:ind w:left="720" w:hanging="578.267716535433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Parámetros para celda de cloroformo:</w:t>
      </w:r>
    </w:p>
    <w:p w:rsidR="00000000" w:rsidDel="00000000" w:rsidP="00000000" w:rsidRDefault="00000000" w:rsidRPr="00000000" w14:paraId="00000154">
      <w:pPr>
        <w:spacing w:line="276" w:lineRule="auto"/>
        <w:ind w:left="720" w:hanging="578.267716535433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Número de onda grupos OH = 3611 cm-1</w:t>
      </w:r>
    </w:p>
    <w:p w:rsidR="00000000" w:rsidDel="00000000" w:rsidP="00000000" w:rsidRDefault="00000000" w:rsidRPr="00000000" w14:paraId="00000155">
      <w:pPr>
        <w:spacing w:line="276" w:lineRule="auto"/>
        <w:ind w:left="720" w:hanging="578.267716535433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Pendiente = 118,94 (mmol OH/L)/ABS</w:t>
      </w:r>
    </w:p>
    <w:p w:rsidR="00000000" w:rsidDel="00000000" w:rsidP="00000000" w:rsidRDefault="00000000" w:rsidRPr="00000000" w14:paraId="00000156">
      <w:pPr>
        <w:spacing w:line="276" w:lineRule="auto"/>
        <w:ind w:left="720" w:hanging="578.267716535433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Volumen de muestra = 10 mL</w:t>
      </w:r>
    </w:p>
    <w:p w:rsidR="00000000" w:rsidDel="00000000" w:rsidP="00000000" w:rsidRDefault="00000000" w:rsidRPr="00000000" w14:paraId="00000157">
      <w:pPr>
        <w:spacing w:line="276" w:lineRule="auto"/>
        <w:ind w:left="720" w:hanging="578.267716535433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Factor = 56,106 mg KOH/mmol OH</w:t>
      </w:r>
    </w:p>
    <w:p w:rsidR="00000000" w:rsidDel="00000000" w:rsidP="00000000" w:rsidRDefault="00000000" w:rsidRPr="00000000" w14:paraId="00000158">
      <w:pPr>
        <w:spacing w:line="276" w:lineRule="auto"/>
        <w:ind w:left="720" w:hanging="578.2677165354331"/>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9">
      <w:pPr>
        <w:spacing w:line="276" w:lineRule="auto"/>
        <w:ind w:left="720" w:hanging="578.267716535433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Ecuación para la cuantificación de OHV puntual:</w:t>
      </w:r>
    </w:p>
    <w:p w:rsidR="00000000" w:rsidDel="00000000" w:rsidP="00000000" w:rsidRDefault="00000000" w:rsidRPr="00000000" w14:paraId="0000015A">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15000" cy="447675"/>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1500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C">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D">
      <w:pPr>
        <w:pStyle w:val="Heading3"/>
        <w:ind w:firstLine="141.73228346456688"/>
        <w:jc w:val="both"/>
        <w:rPr/>
      </w:pPr>
      <w:bookmarkStart w:colFirst="0" w:colLast="0" w:name="_ww9ggl2r44f5" w:id="26"/>
      <w:bookmarkEnd w:id="26"/>
      <w:r w:rsidDel="00000000" w:rsidR="00000000" w:rsidRPr="00000000">
        <w:rPr>
          <w:rtl w:val="0"/>
        </w:rPr>
        <w:t xml:space="preserve">3.#.#.# Espectroscopía FTIR para cuantificación OHV por zona</w:t>
      </w:r>
    </w:p>
    <w:p w:rsidR="00000000" w:rsidDel="00000000" w:rsidP="00000000" w:rsidRDefault="00000000" w:rsidRPr="00000000" w14:paraId="0000015E">
      <w:pPr>
        <w:spacing w:line="276" w:lineRule="auto"/>
        <w:ind w:left="0"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F">
      <w:pPr>
        <w:spacing w:line="276" w:lineRule="auto"/>
        <w:ind w:left="0"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cuantificación por zona de la banda OH se basa en la señal integrada, corregida por solvente, corregida por línea de base y normalizada por masa. Para convertir esta señal en una magnitud asociada al OHV, se utilizó una constante de calibración ‘k’ obtenida a partir de CO-Analítico de OHV conocido. </w:t>
      </w:r>
    </w:p>
    <w:p w:rsidR="00000000" w:rsidDel="00000000" w:rsidP="00000000" w:rsidRDefault="00000000" w:rsidRPr="00000000" w14:paraId="00000160">
      <w:pPr>
        <w:spacing w:line="276" w:lineRule="auto"/>
        <w:ind w:left="0"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1">
      <w:pPr>
        <w:spacing w:line="276" w:lineRule="auto"/>
        <w:ind w:left="720" w:hanging="578.267716535433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Parámetros para celda de acetato de etilo:</w:t>
      </w:r>
    </w:p>
    <w:p w:rsidR="00000000" w:rsidDel="00000000" w:rsidP="00000000" w:rsidRDefault="00000000" w:rsidRPr="00000000" w14:paraId="00000162">
      <w:pPr>
        <w:spacing w:line="276" w:lineRule="auto"/>
        <w:ind w:left="720" w:hanging="578.2677165354331"/>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1943100" cy="1343025"/>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94310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line="276" w:lineRule="auto"/>
        <w:ind w:left="720" w:hanging="578.2677165354331"/>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4">
      <w:pPr>
        <w:spacing w:line="276" w:lineRule="auto"/>
        <w:ind w:left="720" w:hanging="578.267716535433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Parámetros para celda de cloroformo:</w:t>
      </w:r>
    </w:p>
    <w:p w:rsidR="00000000" w:rsidDel="00000000" w:rsidP="00000000" w:rsidRDefault="00000000" w:rsidRPr="00000000" w14:paraId="00000165">
      <w:pPr>
        <w:spacing w:line="276" w:lineRule="auto"/>
        <w:ind w:left="720" w:hanging="578.2677165354331"/>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657475" cy="1304925"/>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657475"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line="276" w:lineRule="auto"/>
        <w:ind w:left="720" w:hanging="578.2677165354331"/>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7">
      <w:pPr>
        <w:spacing w:line="276" w:lineRule="auto"/>
        <w:ind w:left="720" w:hanging="578.2677165354331"/>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8">
      <w:pPr>
        <w:spacing w:line="276" w:lineRule="auto"/>
        <w:ind w:left="720" w:hanging="578.267716535433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Ecuación para la cuantificación de OHV por zona:</w:t>
      </w:r>
    </w:p>
    <w:p w:rsidR="00000000" w:rsidDel="00000000" w:rsidP="00000000" w:rsidRDefault="00000000" w:rsidRPr="00000000" w14:paraId="00000169">
      <w:pPr>
        <w:spacing w:line="276" w:lineRule="auto"/>
        <w:ind w:left="720" w:hanging="578.2677165354331"/>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57200"/>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line="276" w:lineRule="auto"/>
        <w:ind w:left="720" w:hanging="578.2677165354331"/>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B">
      <w:pPr>
        <w:spacing w:line="276" w:lineRule="auto"/>
        <w:ind w:left="720" w:hanging="578.2677165354331"/>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C">
      <w:pPr>
        <w:pStyle w:val="Heading3"/>
        <w:ind w:firstLine="141.73228346456688"/>
        <w:jc w:val="both"/>
        <w:rPr/>
      </w:pPr>
      <w:bookmarkStart w:colFirst="0" w:colLast="0" w:name="_283eeprx4pww" w:id="27"/>
      <w:bookmarkEnd w:id="27"/>
      <w:r w:rsidDel="00000000" w:rsidR="00000000" w:rsidRPr="00000000">
        <w:rPr>
          <w:rtl w:val="0"/>
        </w:rPr>
        <w:t xml:space="preserve">3.#.#.# Espectroscopía FTIR para análisis de grupos funcionales</w:t>
      </w:r>
    </w:p>
    <w:p w:rsidR="00000000" w:rsidDel="00000000" w:rsidP="00000000" w:rsidRDefault="00000000" w:rsidRPr="00000000" w14:paraId="0000016D">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E">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posiciones operativas de los grupos funcionales se ajustaron en función de los espectros reales del proyecto.</w:t>
      </w:r>
    </w:p>
    <w:p w:rsidR="00000000" w:rsidDel="00000000" w:rsidP="00000000" w:rsidRDefault="00000000" w:rsidRPr="00000000" w14:paraId="0000016F">
      <w:pPr>
        <w:spacing w:line="276" w:lineRule="auto"/>
        <w:ind w:left="720" w:hanging="578.2677165354331"/>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0">
      <w:pPr>
        <w:spacing w:line="276" w:lineRule="auto"/>
        <w:ind w:left="720" w:hanging="578.267716535433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Ventanas operativas para celda de acetato de etilo:</w:t>
      </w:r>
    </w:p>
    <w:p w:rsidR="00000000" w:rsidDel="00000000" w:rsidP="00000000" w:rsidRDefault="00000000" w:rsidRPr="00000000" w14:paraId="00000171">
      <w:pPr>
        <w:spacing w:line="276" w:lineRule="auto"/>
        <w:ind w:left="720" w:hanging="578.2677165354331"/>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2">
      <w:pPr>
        <w:spacing w:line="276" w:lineRule="auto"/>
        <w:ind w:left="720" w:hanging="578.2677165354331"/>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3">
      <w:pPr>
        <w:spacing w:line="276" w:lineRule="auto"/>
        <w:ind w:left="720" w:hanging="578.2677165354331"/>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4">
      <w:pPr>
        <w:spacing w:line="276" w:lineRule="auto"/>
        <w:ind w:left="720" w:hanging="578.267716535433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Ventanas operativas para celda de cloroformo:</w:t>
      </w:r>
    </w:p>
    <w:p w:rsidR="00000000" w:rsidDel="00000000" w:rsidP="00000000" w:rsidRDefault="00000000" w:rsidRPr="00000000" w14:paraId="00000175">
      <w:pPr>
        <w:spacing w:line="276" w:lineRule="auto"/>
        <w:ind w:left="1440" w:hanging="578.2677165354332"/>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 intérvalo 1010-1045 cm-1 con pico en 1020 cm-1</w:t>
      </w:r>
    </w:p>
    <w:p w:rsidR="00000000" w:rsidDel="00000000" w:rsidP="00000000" w:rsidRDefault="00000000" w:rsidRPr="00000000" w14:paraId="00000176">
      <w:pPr>
        <w:spacing w:line="276" w:lineRule="auto"/>
        <w:ind w:left="1440" w:hanging="578.2677165354332"/>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CH2: intérvalo 1373-1383 cm-1 con pico en 1379 cm-1</w:t>
      </w:r>
    </w:p>
    <w:p w:rsidR="00000000" w:rsidDel="00000000" w:rsidP="00000000" w:rsidRDefault="00000000" w:rsidRPr="00000000" w14:paraId="00000177">
      <w:pPr>
        <w:spacing w:line="276" w:lineRule="auto"/>
        <w:ind w:left="1440" w:hanging="578.2677165354332"/>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C=C: intérvalo 1635-1665 cm-1 con pico en 1650 cm-1</w:t>
      </w:r>
    </w:p>
    <w:p w:rsidR="00000000" w:rsidDel="00000000" w:rsidP="00000000" w:rsidRDefault="00000000" w:rsidRPr="00000000" w14:paraId="00000178">
      <w:pPr>
        <w:spacing w:line="276" w:lineRule="auto"/>
        <w:ind w:left="1440" w:hanging="578.2677165354332"/>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Epóxido: intérvalo 828-836 cm-1 con pico en 830 cm-1</w:t>
      </w:r>
    </w:p>
    <w:p w:rsidR="00000000" w:rsidDel="00000000" w:rsidP="00000000" w:rsidRDefault="00000000" w:rsidRPr="00000000" w14:paraId="00000179">
      <w:pPr>
        <w:spacing w:line="276" w:lineRule="auto"/>
        <w:ind w:left="1440" w:hanging="578.2677165354332"/>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Éster: intérvalo 1093-1105 cm-1 con pico en 1099 cm-1</w:t>
      </w:r>
    </w:p>
    <w:p w:rsidR="00000000" w:rsidDel="00000000" w:rsidP="00000000" w:rsidRDefault="00000000" w:rsidRPr="00000000" w14:paraId="0000017A">
      <w:pPr>
        <w:spacing w:line="276" w:lineRule="auto"/>
        <w:ind w:left="1440" w:hanging="578.2677165354332"/>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Éter: intérvalo 1105-1119 cm-1 con pico en 1111 cm-1</w:t>
      </w:r>
    </w:p>
    <w:p w:rsidR="00000000" w:rsidDel="00000000" w:rsidP="00000000" w:rsidRDefault="00000000" w:rsidRPr="00000000" w14:paraId="0000017B">
      <w:pPr>
        <w:spacing w:line="276" w:lineRule="auto"/>
        <w:ind w:left="720" w:hanging="578.2677165354331"/>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C">
      <w:pPr>
        <w:spacing w:line="276" w:lineRule="auto"/>
        <w:ind w:left="720" w:hanging="578.2677165354331"/>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D">
      <w:pPr>
        <w:spacing w:line="276" w:lineRule="auto"/>
        <w:ind w:left="720" w:hanging="578.267716535433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 web para procesar datos y espectros###</w:t>
      </w:r>
    </w:p>
    <w:p w:rsidR="00000000" w:rsidDel="00000000" w:rsidP="00000000" w:rsidRDefault="00000000" w:rsidRPr="00000000" w14:paraId="0000017E">
      <w:pPr>
        <w:spacing w:line="276" w:lineRule="auto"/>
        <w:ind w:left="720" w:hanging="578.2677165354331"/>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F">
      <w:pPr>
        <w:spacing w:line="276" w:lineRule="auto"/>
        <w:ind w:left="720" w:hanging="578.2677165354331"/>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0">
      <w:pPr>
        <w:pStyle w:val="Heading2"/>
        <w:ind w:firstLine="141.73228346456688"/>
        <w:jc w:val="both"/>
        <w:rPr/>
      </w:pPr>
      <w:bookmarkStart w:colFirst="0" w:colLast="0" w:name="_phwfns3adolr" w:id="28"/>
      <w:bookmarkEnd w:id="28"/>
      <w:r w:rsidDel="00000000" w:rsidR="00000000" w:rsidRPr="00000000">
        <w:rPr>
          <w:rtl w:val="0"/>
        </w:rPr>
        <w:t xml:space="preserve">3.#.# Resonancia Magnética Nuclear (RMN)</w:t>
      </w:r>
    </w:p>
    <w:p w:rsidR="00000000" w:rsidDel="00000000" w:rsidP="00000000" w:rsidRDefault="00000000" w:rsidRPr="00000000" w14:paraId="00000181">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2">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espectros de resonancia magnética nuclear (RMN) se obtuvieron utilizando un espectrómetro de sobremesa Spinsolve 80 MHz (Magritek GmbH), operando a una frecuencia de 80,42 MHz para 1H, con campo magnético de 2 T y temperatura de trabajo de 26°C. Las muestras fueron preparadas en tubos estándar de 5 mm utilizando cloroformo como solvente. </w:t>
      </w:r>
    </w:p>
    <w:p w:rsidR="00000000" w:rsidDel="00000000" w:rsidP="00000000" w:rsidRDefault="00000000" w:rsidRPr="00000000" w14:paraId="00000183">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espectros de 1H y 13C se emplearon para el análisis estructural comparativo de aceites, epóxidos y polioles derivados de aceite de soja, con el objetivo de identificar cambios asociados al consumo de insaturaciones y la formación de grupos oxigenados.</w:t>
      </w:r>
    </w:p>
    <w:p w:rsidR="00000000" w:rsidDel="00000000" w:rsidP="00000000" w:rsidRDefault="00000000" w:rsidRPr="00000000" w14:paraId="00000184">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equipo utilizado presenta capacidades de supresión de señal del solvente, lo que permite atenuar significativamente las señales intensas del mismo y mejorar la observación de las especies de interés.</w:t>
      </w:r>
    </w:p>
    <w:p w:rsidR="00000000" w:rsidDel="00000000" w:rsidP="00000000" w:rsidRDefault="00000000" w:rsidRPr="00000000" w14:paraId="00000185">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6">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7">
      <w:pPr>
        <w:pStyle w:val="Heading3"/>
        <w:ind w:firstLine="141.73228346456688"/>
        <w:jc w:val="both"/>
        <w:rPr/>
      </w:pPr>
      <w:bookmarkStart w:colFirst="0" w:colLast="0" w:name="_lqyuh69d20tt" w:id="29"/>
      <w:bookmarkEnd w:id="29"/>
      <w:r w:rsidDel="00000000" w:rsidR="00000000" w:rsidRPr="00000000">
        <w:rPr>
          <w:rtl w:val="0"/>
        </w:rPr>
        <w:t xml:space="preserve">3.#.#.#</w:t>
      </w:r>
      <w:r w:rsidDel="00000000" w:rsidR="00000000" w:rsidRPr="00000000">
        <w:rPr>
          <w:rtl w:val="0"/>
        </w:rPr>
        <w:t xml:space="preserve"> 1H-RMN</w:t>
      </w:r>
      <w:r w:rsidDel="00000000" w:rsidR="00000000" w:rsidRPr="00000000">
        <w:rPr>
          <w:rtl w:val="0"/>
        </w:rPr>
      </w:r>
    </w:p>
    <w:p w:rsidR="00000000" w:rsidDel="00000000" w:rsidP="00000000" w:rsidRDefault="00000000" w:rsidRPr="00000000" w14:paraId="00000188">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espectros de 1H-RMN se registraron bajo condiciones estándar del equipo, empleando secuencias de supresión del solvente cuando fue necesario. Los desplazamientos químicos se expresaron en ppm y fueron analizados de manera comparativa entre distintas muestras.</w:t>
      </w:r>
    </w:p>
    <w:p w:rsidR="00000000" w:rsidDel="00000000" w:rsidP="00000000" w:rsidRDefault="00000000" w:rsidRPr="00000000" w14:paraId="00000189">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técnica se utilizó principalmente para el seguimiento de protones olefínicos, protones asociados a estructuras epoxidadas y señales correspondientes a protones en carbonos enlazados a oxígeno. </w:t>
      </w:r>
    </w:p>
    <w:p w:rsidR="00000000" w:rsidDel="00000000" w:rsidP="00000000" w:rsidRDefault="00000000" w:rsidRPr="00000000" w14:paraId="0000018A">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B">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C">
      <w:pPr>
        <w:pStyle w:val="Heading3"/>
        <w:rPr/>
      </w:pPr>
      <w:bookmarkStart w:colFirst="0" w:colLast="0" w:name="_vgn3ot5h430u" w:id="30"/>
      <w:bookmarkEnd w:id="30"/>
      <w:r w:rsidDel="00000000" w:rsidR="00000000" w:rsidRPr="00000000">
        <w:rPr>
          <w:rtl w:val="0"/>
        </w:rPr>
        <w:t xml:space="preserve">3.#.#.#</w:t>
      </w:r>
      <w:r w:rsidDel="00000000" w:rsidR="00000000" w:rsidRPr="00000000">
        <w:rPr>
          <w:rtl w:val="0"/>
        </w:rPr>
        <w:t xml:space="preserve"> 13C-RMN</w:t>
      </w:r>
    </w:p>
    <w:p w:rsidR="00000000" w:rsidDel="00000000" w:rsidP="00000000" w:rsidRDefault="00000000" w:rsidRPr="00000000" w14:paraId="0000018D">
      <w:pPr>
        <w:spacing w:line="276" w:lineRule="auto"/>
        <w:ind w:firstLine="141.73228346456688"/>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8E">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espectros de 13C-RMN se emplearon como técnica complementaria para la asignación estructural de las muestras. Se analizaron señales correspondientes a carbonos carbonílicos, olefínicos y carbonos enlazados a oxígeno, permitiendo confirmar las transformaciones químicas observadas en el sistema. El análisis se realizó de forma cualitativa y comparativa entre muestras representativas, sin realizar cuantificación absoluta de señales.</w:t>
      </w:r>
    </w:p>
    <w:p w:rsidR="00000000" w:rsidDel="00000000" w:rsidP="00000000" w:rsidRDefault="00000000" w:rsidRPr="00000000" w14:paraId="0000018F">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0">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1">
      <w:pPr>
        <w:pStyle w:val="Heading3"/>
        <w:rPr/>
      </w:pPr>
      <w:bookmarkStart w:colFirst="0" w:colLast="0" w:name="_9lbyxndb8e6p" w:id="31"/>
      <w:bookmarkEnd w:id="31"/>
      <w:r w:rsidDel="00000000" w:rsidR="00000000" w:rsidRPr="00000000">
        <w:rPr>
          <w:rtl w:val="0"/>
        </w:rPr>
        <w:t xml:space="preserve">3.#.#.# Experimentos complementarios de RMN</w:t>
      </w:r>
    </w:p>
    <w:p w:rsidR="00000000" w:rsidDel="00000000" w:rsidP="00000000" w:rsidRDefault="00000000" w:rsidRPr="00000000" w14:paraId="00000192">
      <w:pPr>
        <w:spacing w:line="276" w:lineRule="auto"/>
        <w:ind w:firstLine="141.73228346456688"/>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93">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las muestras seleccionadas se realizaron experimentos adicionales de RMN, incluyendo mediciones de coeficientes de difusión mediante espectroscopía DOSY y determinaciones de tiempos de relajación transversal T2, utilizando secuencias disponibles en el equipo.</w:t>
      </w:r>
    </w:p>
    <w:p w:rsidR="00000000" w:rsidDel="00000000" w:rsidP="00000000" w:rsidRDefault="00000000" w:rsidRPr="00000000" w14:paraId="00000194">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experimentos de difusión se basan en la aplicación de gradientes de campo pulsados, permitiendo estimar coeficientes de autodifusión y evaluar diferencias en movilidad molecular entre las distintas muestras.</w:t>
      </w:r>
    </w:p>
    <w:p w:rsidR="00000000" w:rsidDel="00000000" w:rsidP="00000000" w:rsidRDefault="00000000" w:rsidRPr="00000000" w14:paraId="00000195">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tiempos de relajación T2 se emplearon como parámetro indirecto del entorno molecular y de la dinámica de las especies presentes. Estos ensayos complementan la información estructural obtenida a partir de los espectros unidimensionales.</w:t>
      </w:r>
    </w:p>
    <w:p w:rsidR="00000000" w:rsidDel="00000000" w:rsidP="00000000" w:rsidRDefault="00000000" w:rsidRPr="00000000" w14:paraId="00000196">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7">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8">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9">
      <w:pPr>
        <w:pStyle w:val="Heading1"/>
        <w:ind w:firstLine="141.73228346456688"/>
        <w:jc w:val="both"/>
        <w:rPr/>
      </w:pPr>
      <w:bookmarkStart w:colFirst="0" w:colLast="0" w:name="_zdm1n5s1sq77" w:id="32"/>
      <w:bookmarkEnd w:id="32"/>
      <w:r w:rsidDel="00000000" w:rsidR="00000000" w:rsidRPr="00000000">
        <w:rPr>
          <w:rtl w:val="0"/>
        </w:rPr>
        <w:t xml:space="preserve">3.# Monitoreo de variables de proceso</w:t>
      </w:r>
    </w:p>
    <w:p w:rsidR="00000000" w:rsidDel="00000000" w:rsidP="00000000" w:rsidRDefault="00000000" w:rsidRPr="00000000" w14:paraId="0000019A">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B">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las reacciones de epoxidación y posterior apertura de anillo, se realizaron ensayos de monitoreo de variables fisicoquímicas del sistema con el objetivo de evaluar la evolución del medio de reacción. Se midieron las temperaturas dentro del reactor y dentro del baño termostatizado, el potencial de óxido-reducción (ORP), pH y conductividad, utilizando electrodos comerciales adecuados para medios líquidos. </w:t>
      </w:r>
    </w:p>
    <w:p w:rsidR="00000000" w:rsidDel="00000000" w:rsidP="00000000" w:rsidRDefault="00000000" w:rsidRPr="00000000" w14:paraId="0000019C">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la implementación de estas mediciones se desarrollaron diferentes configuraciones experimentales. Inicialmente se empleó una celda externa con recirculación del medio de reacción mediante un loop impulsado por bomba de diafragma. Posteriormente, el diseño fue modificado en sucesivas iteraciones para mejorar la estabilidad de las mediciones y permitir la incorporación de sensores adicionales. Finalmente, se evaluó la posibilidad de realizar mediciones directas mediante la introducción de electrodos en el reactor.</w:t>
      </w:r>
    </w:p>
    <w:p w:rsidR="00000000" w:rsidDel="00000000" w:rsidP="00000000" w:rsidRDefault="00000000" w:rsidRPr="00000000" w14:paraId="0000019D">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mediciones se realizaron durante distintas etapas del proceso, incluyendo reacción y downstream, en síntesis seleccionadas.</w:t>
      </w:r>
    </w:p>
    <w:p w:rsidR="00000000" w:rsidDel="00000000" w:rsidP="00000000" w:rsidRDefault="00000000" w:rsidRPr="00000000" w14:paraId="0000019E">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F">
      <w:pPr>
        <w:spacing w:line="276" w:lineRule="auto"/>
        <w:ind w:firstLine="141.73228346456688"/>
        <w:jc w:val="both"/>
        <w:rPr>
          <w:rFonts w:ascii="Calibri" w:cs="Calibri" w:eastAsia="Calibri" w:hAnsi="Calibri"/>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141.73228346456688"/>
      <w:jc w:val="both"/>
    </w:pPr>
    <w:rPr>
      <w:rFonts w:ascii="Calibri" w:cs="Calibri" w:eastAsia="Calibri" w:hAnsi="Calibri"/>
      <w:b w:val="1"/>
      <w:bCs w:val="1"/>
      <w:sz w:val="30"/>
      <w:szCs w:val="30"/>
    </w:rPr>
  </w:style>
  <w:style w:type="paragraph" w:styleId="Heading2">
    <w:name w:val="heading 2"/>
    <w:basedOn w:val="Normal"/>
    <w:next w:val="Normal"/>
    <w:pPr>
      <w:keepNext w:val="1"/>
      <w:keepLines w:val="1"/>
      <w:ind w:firstLine="141.73228346456688"/>
      <w:jc w:val="both"/>
    </w:pPr>
    <w:rPr>
      <w:rFonts w:ascii="Calibri" w:cs="Calibri" w:eastAsia="Calibri" w:hAnsi="Calibri"/>
      <w:b w:val="1"/>
      <w:bCs w:val="1"/>
      <w:sz w:val="28"/>
      <w:szCs w:val="28"/>
    </w:rPr>
  </w:style>
  <w:style w:type="paragraph" w:styleId="Heading3">
    <w:name w:val="heading 3"/>
    <w:basedOn w:val="Normal"/>
    <w:next w:val="Normal"/>
    <w:pPr>
      <w:keepNext w:val="1"/>
      <w:keepLines w:val="1"/>
      <w:ind w:firstLine="141.73228346456688"/>
      <w:jc w:val="both"/>
    </w:pPr>
    <w:rPr>
      <w:rFonts w:ascii="Calibri" w:cs="Calibri" w:eastAsia="Calibri" w:hAnsi="Calibri"/>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ind w:firstLine="141.73228346456688"/>
      <w:jc w:val="both"/>
    </w:pPr>
    <w:rPr>
      <w:rFonts w:ascii="Calibri" w:cs="Calibri" w:eastAsia="Calibri" w:hAnsi="Calibri"/>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2" Type="http://schemas.openxmlformats.org/officeDocument/2006/relationships/image" Target="media/image7.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