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141.73228346456688"/>
        <w:jc w:val="both"/>
        <w:rPr/>
      </w:pPr>
      <w:bookmarkStart w:colFirst="0" w:colLast="0" w:name="_4idg8o6c3dkx" w:id="0"/>
      <w:bookmarkEnd w:id="0"/>
      <w:r w:rsidDel="00000000" w:rsidR="00000000" w:rsidRPr="00000000">
        <w:rPr>
          <w:rtl w:val="0"/>
        </w:rPr>
        <w:t xml:space="preserve">Capítulo 6. RESULTADOS Y DISCUSIÓN</w:t>
      </w:r>
    </w:p>
    <w:p w:rsidR="00000000" w:rsidDel="00000000" w:rsidP="00000000" w:rsidRDefault="00000000" w:rsidRPr="00000000" w14:paraId="00000002">
      <w:pPr>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pStyle w:val="Heading1"/>
        <w:rPr>
          <w:b w:val="1"/>
          <w:bCs w:val="1"/>
        </w:rPr>
      </w:pPr>
      <w:bookmarkStart w:colFirst="0" w:colLast="0" w:name="_jvrm3zea0fmf" w:id="1"/>
      <w:bookmarkEnd w:id="1"/>
      <w:r w:rsidDel="00000000" w:rsidR="00000000" w:rsidRPr="00000000">
        <w:rPr>
          <w:rtl w:val="0"/>
        </w:rPr>
        <w:t xml:space="preserve">6.# SÍNTESIS DE BIOPOLIOL </w:t>
      </w:r>
      <w:r w:rsidDel="00000000" w:rsidR="00000000" w:rsidRPr="00000000">
        <w:rPr>
          <w:rtl w:val="0"/>
        </w:rPr>
      </w:r>
    </w:p>
    <w:p w:rsidR="00000000" w:rsidDel="00000000" w:rsidP="00000000" w:rsidRDefault="00000000" w:rsidRPr="00000000" w14:paraId="00000004">
      <w:pPr>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esta sección se discuten los principales resultados obtenidos durante la síntesis y el acondicionamiento de los biopolioles, integrando observaciones de proceso, caracterización espectral y variables de desempeño del sistema reaccionante.</w:t>
      </w:r>
    </w:p>
    <w:p w:rsidR="00000000" w:rsidDel="00000000" w:rsidP="00000000" w:rsidRDefault="00000000" w:rsidRPr="00000000" w14:paraId="00000006">
      <w:pPr>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pStyle w:val="Heading2"/>
        <w:ind w:firstLine="141.73228346456688"/>
        <w:rPr/>
      </w:pPr>
      <w:bookmarkStart w:colFirst="0" w:colLast="0" w:name="_lu3acscx617i" w:id="2"/>
      <w:bookmarkEnd w:id="2"/>
      <w:r w:rsidDel="00000000" w:rsidR="00000000" w:rsidRPr="00000000">
        <w:rPr>
          <w:rtl w:val="0"/>
        </w:rPr>
        <w:t xml:space="preserve">6.#.# Características del sistema reaccionante</w:t>
      </w:r>
    </w:p>
    <w:p w:rsidR="00000000" w:rsidDel="00000000" w:rsidP="00000000" w:rsidRDefault="00000000" w:rsidRPr="00000000" w14:paraId="00000009">
      <w:pPr>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Durante la reacción se identificaron de manera recurrente cuatro rasgos de comportamiento del sistema: incremento progresivo de viscosidad, aumento adicional de viscosidad tras neutralización, liberación de gases y pérdida de calidad del monitoreo en línea. Estos rasgos no solo describen el estado del medio, sino que condicionan directamente la transferencia de masa, la representatividad del muestreo y la reproducibilidad global de la corrida.</w:t>
      </w:r>
    </w:p>
    <w:p w:rsidR="00000000" w:rsidDel="00000000" w:rsidP="00000000" w:rsidRDefault="00000000" w:rsidRPr="00000000" w14:paraId="0000000B">
      <w:pPr>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pStyle w:val="Heading1"/>
        <w:ind w:firstLine="141.73228346456688"/>
        <w:rPr/>
      </w:pPr>
      <w:bookmarkStart w:colFirst="0" w:colLast="0" w:name="_2vr21a8meg8f" w:id="3"/>
      <w:bookmarkEnd w:id="3"/>
      <w:r w:rsidDel="00000000" w:rsidR="00000000" w:rsidRPr="00000000">
        <w:rPr>
          <w:rtl w:val="0"/>
        </w:rPr>
        <w:t xml:space="preserve">6.# Espectroscopía FTIR</w:t>
      </w:r>
    </w:p>
    <w:p w:rsidR="00000000" w:rsidDel="00000000" w:rsidP="00000000" w:rsidRDefault="00000000" w:rsidRPr="00000000" w14:paraId="0000000E">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 fines de interpretación, el análisis FTIR de este capítulo se organiza en tres niveles complementarios: cuantificación OH puntual, cuantificación OH por zona y evolución relativa de otros grupos funcionales. Esta estructura permite distinguir cambios locales de absorbancia, variaciones de banda más integrales y modificaciones estructurales relativas entre muestras y entre síntesis.</w:t>
      </w:r>
    </w:p>
    <w:p w:rsidR="00000000" w:rsidDel="00000000" w:rsidP="00000000" w:rsidRDefault="00000000" w:rsidRPr="00000000" w14:paraId="0000000F">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Inicialmente se utilizó acetato de etilo grado analítico como solvente de muestras (SBO-P-01 a SBO-P-07). El acetato de etilo presenta bandas intensas que pueden solaparse con las señales del poliol (C=O, C-O, C-H). Así solvente puede enmascarar estas bandas, dificultando la interpretación o cuantificación. Además, el acetato de etilo es aceptor de H por lo que puede interactuar con grupos OH. Esto puede generar ensanchamiento o desplazamiento de la banda O-H de interés en el espectro.</w:t>
      </w:r>
    </w:p>
    <w:p w:rsidR="00000000" w:rsidDel="00000000" w:rsidP="00000000" w:rsidRDefault="00000000" w:rsidRPr="00000000" w14:paraId="00000010">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 esta manera, el solvente acetato de etilo fue reemplazado por cloroformo en las síntesis más avanzadas (SBO-P-08 a SBO-P-20). El cloroformo presenta menos interferencias en regiones críticas del espectro, generalmente menos problemáticas (C-H, C-Cl), interactúa menos con los grupos OH y no forma puentes de hidrógeno como donador. El cloroformo tiene mayor afinidad por los compuestos orgánicos relativamente apolares o moderadamente polares, genera soluciones más homogéneas que el acetato de etilo y permite obtener espectros más reproducibles. Las muestras se inyectan en una celda especial para líquidos de 5 mL de volumen.</w:t>
      </w:r>
    </w:p>
    <w:p w:rsidR="00000000" w:rsidDel="00000000" w:rsidP="00000000" w:rsidRDefault="00000000" w:rsidRPr="00000000" w14:paraId="00000011">
      <w:pPr>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2">
      <w:pPr>
        <w:pStyle w:val="Heading2"/>
        <w:ind w:firstLine="141.73228346456688"/>
        <w:rPr/>
      </w:pPr>
      <w:bookmarkStart w:colFirst="0" w:colLast="0" w:name="_nitd6mc38icx" w:id="4"/>
      <w:bookmarkEnd w:id="4"/>
      <w:r w:rsidDel="00000000" w:rsidR="00000000" w:rsidRPr="00000000">
        <w:rPr>
          <w:rtl w:val="0"/>
        </w:rPr>
        <w:t xml:space="preserve">6.#.# Espectroscopía FTIR para cuantificación OHV puntual</w:t>
      </w:r>
    </w:p>
    <w:p w:rsidR="00000000" w:rsidDel="00000000" w:rsidP="00000000" w:rsidRDefault="00000000" w:rsidRPr="00000000" w14:paraId="00000013">
      <w:pPr>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cuantificación OH puntual se utilizó como indicador operativo de la evolución de grupos hidroxilo en el número de onda de referencia de cada celda. En este trabajo, su valor interpretativo reside menos en la equivalencia exacta con un OH absoluto que en la posibilidad de seguir comparativamente trayectorias cinéticas, estados intermedios y estados finales dentro de una misma síntesis y entre síntesis comparables.</w:t>
      </w:r>
    </w:p>
    <w:p w:rsidR="00000000" w:rsidDel="00000000" w:rsidP="00000000" w:rsidRDefault="00000000" w:rsidRPr="00000000" w14:paraId="00000015">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consecuencia, la cuantificación puntual se utilizó aquí como una medida operativa del entorno espectral de los grupos OH y no como una descripción completa de todas las poblaciones hidroxilo presentes. Su principal utilidad radica en comparar trayectorias relativas entre muestras dentro de una misma síntesis y entre síntesis diferentes cuando se emplea la misma celda y el mismo esquema de preparación.</w:t>
      </w:r>
    </w:p>
    <w:p w:rsidR="00000000" w:rsidDel="00000000" w:rsidP="00000000" w:rsidRDefault="00000000" w:rsidRPr="00000000" w14:paraId="00000016">
      <w:pPr>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pStyle w:val="Heading2"/>
        <w:ind w:firstLine="141.73228346456688"/>
        <w:rPr/>
      </w:pPr>
      <w:bookmarkStart w:colFirst="0" w:colLast="0" w:name="_o7g2k4zbl8jd" w:id="5"/>
      <w:bookmarkEnd w:id="5"/>
      <w:r w:rsidDel="00000000" w:rsidR="00000000" w:rsidRPr="00000000">
        <w:rPr>
          <w:rtl w:val="0"/>
        </w:rPr>
        <w:t xml:space="preserve">6.#.# Espectroscopía FTIR para cuantificación OHV por zona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Durante la síntesis de polioles a partir de aceites vegetales, pueden generarse grupos OH diferentes al que presenta el CO-Analítico. La señal de grupos OH más libres absorben a mayor número de onda y los menos móviles se detectan en el espectro más cerca de 3300 cm</w:t>
      </w:r>
      <w:r w:rsidDel="00000000" w:rsidR="00000000" w:rsidRPr="00000000">
        <w:rPr>
          <w:rFonts w:ascii="Calibri" w:cs="Calibri" w:eastAsia="Calibri" w:hAnsi="Calibri"/>
          <w:sz w:val="24"/>
          <w:szCs w:val="24"/>
          <w:vertAlign w:val="superscript"/>
          <w:rtl w:val="0"/>
        </w:rPr>
        <w:t xml:space="preserve">-1</w:t>
      </w:r>
      <w:r w:rsidDel="00000000" w:rsidR="00000000" w:rsidRPr="00000000">
        <w:rPr>
          <w:rFonts w:ascii="Calibri" w:cs="Calibri" w:eastAsia="Calibri" w:hAnsi="Calibri"/>
          <w:sz w:val="24"/>
          <w:szCs w:val="24"/>
          <w:rtl w:val="0"/>
        </w:rPr>
        <w:t xml:space="preserve">. Además las interacciones entre moléculas pueden desplazar la señal de los grupos OH. </w:t>
      </w:r>
    </w:p>
    <w:p w:rsidR="00000000" w:rsidDel="00000000" w:rsidP="00000000" w:rsidRDefault="00000000" w:rsidRPr="00000000" w14:paraId="0000001B">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Existen diferencias cinéticas entre los diferentes tipos de grupos OH durante la reacción entre poliol e isocianato para generar poliuretano. Sin embargo, el grupo NCO es termodinámicamente reactivo con todas estas especies. De esta manera resulta importante la cuantificación OHV que incluye toda la zona de grupos OH.</w:t>
      </w:r>
    </w:p>
    <w:p w:rsidR="00000000" w:rsidDel="00000000" w:rsidP="00000000" w:rsidRDefault="00000000" w:rsidRPr="00000000" w14:paraId="0000001C">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la cuantificación por zona de grupos OH, se calculó la integral de la absorbancia entre los límites de integración de la banda de absorción de grupos OH mediante el método de trapecios aplicado a los datos discretos del espectro FTIR. Luego se restó la integral de la absorbancia del solvente y se aplicó una corrección de línea base. La línea base es una recta que se traza entre los extremos de la ventana de integración. Por último se dividió el área resultante por la masa de la muestra (Ecuación ##).</w:t>
      </w:r>
    </w:p>
    <w:p w:rsidR="00000000" w:rsidDel="00000000" w:rsidP="00000000" w:rsidRDefault="00000000" w:rsidRPr="00000000" w14:paraId="0000001D">
      <w:pPr>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22606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Luego, la cuantificación por área de la zona OH se calculó a partir del área corregida y normalizada por masa, tomando como referencia OC-Analítico de OHV conocido (164 mg KOH/g). Bajo esta aproximación, se asumió una proporcionalidad lineal entre A_OH y OHV. </w:t>
      </w:r>
    </w:p>
    <w:p w:rsidR="00000000" w:rsidDel="00000000" w:rsidP="00000000" w:rsidRDefault="00000000" w:rsidRPr="00000000" w14:paraId="00000021">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define ‘k’ como la constante de calibración de cada celda. Esta aproximación asume implícitamente que la fracción de señal espectral recuperada mediante la integración es comparable entre la muestra y el patrón. Sin embargo, en sistemas con poblaciones heterogéneas de grupos OH, la banda puede solaparse con otras contribuciones, lo que puede afectar la fracción de señal efectivamente recuperada dentro de la ventana de integración. En consecuencia, los valores obtenidos por este método deben interpretarse como estimaciones operativas y potencialmente conservadoras del OHV.</w:t>
      </w:r>
    </w:p>
    <w:p w:rsidR="00000000" w:rsidDel="00000000" w:rsidP="00000000" w:rsidRDefault="00000000" w:rsidRPr="00000000" w14:paraId="00000022">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4981575" cy="1085850"/>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981575"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Cuando el patrón de OH es homogéneo, la banda OH está menos perturbada por solapamientos y la señal integrada atribuible a OH tiende a recuperarse mejor. En cambio, en matrices complejas, con poblaciones mixtas de OH y otras contribuciones espectrales en la misma zona, la banda puede mezclarse con otras absorciones. En este escenario, la fracción de área que se logra recuperar operativamente puede ser menor a la real. </w:t>
      </w:r>
    </w:p>
    <w:p w:rsidR="00000000" w:rsidDel="00000000" w:rsidP="00000000" w:rsidRDefault="00000000" w:rsidRPr="00000000" w14:paraId="00000024">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diferencia entre la señal espectral total asociada a OH y la fracción recuperada mediante el procedimiento de integración puede conceptualizarse mediante un factor de recuperabilidad espectral. La determinación experimental de este factor para distintos sistemas y condiciones de medición constituye una posible línea de trabajo futura. En este trabajo se define ‘f’ como la fracción de recuperabilidad de la banda OH, siendo ‘f’ menor en sistemas complejos respecto a ‘f’ de grupos OH homogéneos como en CO-Analítico. </w:t>
      </w:r>
    </w:p>
    <w:p w:rsidR="00000000" w:rsidDel="00000000" w:rsidP="00000000" w:rsidRDefault="00000000" w:rsidRPr="00000000" w14:paraId="00000025">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consecuencia, la calibración basada en CO-Analítico puede tender a subestimar el OHV real de las muestras con la complejidad de las señales cuando asumimos f = 1. Por lo tanto, los valores obtenidos por esta vía deben interpretarse como estimaciones conservadoras. </w:t>
      </w:r>
    </w:p>
    <w:p w:rsidR="00000000" w:rsidDel="00000000" w:rsidP="00000000" w:rsidRDefault="00000000" w:rsidRPr="00000000" w14:paraId="00000026">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1181100"/>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8">
      <w:pPr>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9">
      <w:pPr>
        <w:pStyle w:val="Heading2"/>
        <w:ind w:firstLine="141.73228346456688"/>
        <w:jc w:val="both"/>
        <w:rPr/>
      </w:pPr>
      <w:bookmarkStart w:colFirst="0" w:colLast="0" w:name="_99xzbawezroq" w:id="6"/>
      <w:bookmarkEnd w:id="6"/>
      <w:r w:rsidDel="00000000" w:rsidR="00000000" w:rsidRPr="00000000">
        <w:rPr>
          <w:rtl w:val="0"/>
        </w:rPr>
        <w:t xml:space="preserve">6.#.# Espectroscopía FTIR para análisis de grupos funcionales</w:t>
      </w:r>
    </w:p>
    <w:p w:rsidR="00000000" w:rsidDel="00000000" w:rsidP="00000000" w:rsidRDefault="00000000" w:rsidRPr="00000000" w14:paraId="0000002A">
      <w:pPr>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B">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análisis de grupos funcionales se empleó para acompañar la interpretación de la señal OH y evitar lecturas excesivamente simplificadas basadas solo en una variable. En particular, la evolución relativa de bandas asociadas a C-O, éster, éter, C=C y epóxido permitió contextualizar si un cambio en OH se correspondía con una reorganización espectral más amplia o si, por el contrario, se trataba de una modificación local limitada.</w:t>
      </w:r>
    </w:p>
    <w:p w:rsidR="00000000" w:rsidDel="00000000" w:rsidP="00000000" w:rsidRDefault="00000000" w:rsidRPr="00000000" w14:paraId="0000002C">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espectros FTIR se utilizaron para extraer información estructural relativa asociada a diferentes grupos funcionales presentes durante la epoxidación, apertura de anillo oxirano y formación de polioles. El análisis se realizó sobre los espectros completos, tomando como referencia inicial la asignación bibliográfica de bandas y ajustando luego las posiciones operativas a partir de los espectros reales del proyecto. Los picos bibliográficos no se adoptaron de manera literal debido a que la viscosidad de las muestras, la heterogeneidad química y las interacciones intermoleculares pueden desplazar, ensanchar o modificar la intensidad relativa de las bandas.</w:t>
      </w:r>
    </w:p>
    <w:p w:rsidR="00000000" w:rsidDel="00000000" w:rsidP="00000000" w:rsidRDefault="00000000" w:rsidRPr="00000000" w14:paraId="0000002D">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objetivo de este análisis es comparar de manera relativa la evolución de señales espectrales entre muestras en una misma síntesis, entre diferentes síntesis y entre muestras de referencia. En consecuencia, las conclusiones derivadas de este tratamiento se limitaron a cambios relativos de intensidad, desplazamiento de máximos, ensanchamiento de bandas y aparición o desaparición de señales.</w:t>
      </w:r>
    </w:p>
    <w:p w:rsidR="00000000" w:rsidDel="00000000" w:rsidP="00000000" w:rsidRDefault="00000000" w:rsidRPr="00000000" w14:paraId="0000002E">
      <w:pPr>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0">
      <w:pPr>
        <w:pStyle w:val="Heading2"/>
        <w:rPr>
          <w:b w:val="1"/>
          <w:bCs w:val="1"/>
        </w:rPr>
      </w:pPr>
      <w:bookmarkStart w:colFirst="0" w:colLast="0" w:name="_xptbnoqersm8" w:id="7"/>
      <w:bookmarkEnd w:id="7"/>
      <w:r w:rsidDel="00000000" w:rsidR="00000000" w:rsidRPr="00000000">
        <w:rPr>
          <w:rtl w:val="0"/>
        </w:rPr>
        <w:t xml:space="preserve">6.#.# Análisis FTIR del bloque SBO-P-15 a SBO-P-20</w:t>
      </w: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análisis FTIR del bloque SBO-P-15 a SBO-P-20 permitió distinguir, dentro de un conjunto globalmente coherente de síntesis de polioles derivados de aceite de soja, diferencias relevantes tanto en la evolución cinética de la señal OH como en la trayectoria de las bandas asociadas a estructuras oxigenadas. La lectura comparativa del bloque se realizó a partir de tres planos complementarios: índice OH puntual, banda OH por zona y comportamiento relativo de otros grupos funcionales, particularmente C-O, éster, éter, C=C y epóxidos. En conjunto, estos tres niveles de análisis permitieron identificar cuales corridas pertenecen a una misma familia base, cuales expresan comportamientos particulares por cambio de protocolo y cuáles deben interpretarse como ensayos metodológicos con identidad propia.</w:t>
      </w:r>
    </w:p>
    <w:p w:rsidR="00000000" w:rsidDel="00000000" w:rsidP="00000000" w:rsidRDefault="00000000" w:rsidRPr="00000000" w14:paraId="00000033">
      <w:pPr>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5">
      <w:pPr>
        <w:pStyle w:val="Heading3"/>
        <w:ind w:firstLine="141.73228346456688"/>
        <w:jc w:val="both"/>
        <w:rPr/>
      </w:pPr>
      <w:bookmarkStart w:colFirst="0" w:colLast="0" w:name="_1jbzchvenhcw" w:id="8"/>
      <w:bookmarkEnd w:id="8"/>
      <w:r w:rsidDel="00000000" w:rsidR="00000000" w:rsidRPr="00000000">
        <w:rPr>
          <w:rtl w:val="0"/>
        </w:rPr>
        <w:t xml:space="preserve">6.#.#.# Familia base de 24 horas: SBO-P-15, SBO-P-16, SBO-P-17 y SBO-P-20</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Dentro del bloque estudiado, las síntesis SBO-P-15, SBO-P-16, SBO-P-17 y SBO-P-20 constituyen el subconjunto más directamente comparable, ya que comparten el esquema general de síntesis base de 24 horas con cinética FTIR relativamente completa. La comparación entre ellas muestra que las cuatro corren la misma dirección global de transformación, caracterizada por el aumento progresivo de la señal OH y por el crecimiento de bandas asociadas a estructuras oxigenadas. Sin embargo, esa similitud general no implica trayectorias equivalentes.</w:t>
      </w:r>
    </w:p>
    <w:p w:rsidR="00000000" w:rsidDel="00000000" w:rsidP="00000000" w:rsidRDefault="00000000" w:rsidRPr="00000000" w14:paraId="00000038">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SBO-P-15 y SBO-P-16 conforman el par más próximo dentro del bloque. En ambas síntesis, la evolución de la señal OH puntual y de la banda OH por zona sigue una trayectoria ordenada, con incremento neto desde los estados iniciales hasta la etapa tardía de la cinética. Las bandas de C-O, éster y éter acompañan este crecimiento de manera consistente, reforzando la interpretación de una progresiva transformación del sistema hacia una firma espectral más rica en estructuras oxigenadas. la principal diferencia entre ambas no se ubica tanto en el patrón FTIR global como en la intensidad relativa alcanzada al final de la cinética, donde SBO-P-15 tiende a quedar levemente por encima de SBO-P-16 en varias de las bandas oxigenadas.</w:t>
      </w:r>
    </w:p>
    <w:p w:rsidR="00000000" w:rsidDel="00000000" w:rsidP="00000000" w:rsidRDefault="00000000" w:rsidRPr="00000000" w14:paraId="00000039">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SBO-P-17 pertenece a esta misma familia base, pero presenta una trayectoria más intensa y más rápida que las anteriores. La señal OH se desarrolla antes y alcanza valores altos ya en la zona media de la cinética, mientras que las bandas C-O, éster y éter muestran un crecimiento más marcado en tiempos intermedios. En este sentido, SBO-P-17 puede interpretarse como la síntesis más adelantada dentro del grupo base comparable. No obstante, su comportamiento no constituye una ruptura respecto de SBO-P-15 y SBO-P-16, sino una intensificación de una trayectoria espectral del mismo tipo.</w:t>
      </w:r>
    </w:p>
    <w:p w:rsidR="00000000" w:rsidDel="00000000" w:rsidP="00000000" w:rsidRDefault="00000000" w:rsidRPr="00000000" w14:paraId="0000003A">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SBO-P-20, elaborada con un aceite de soja crudo no utilizado previamente, también sigue la ruta general de funcionalización observada en las síntesis basem pero lo hace de forma menos uniforme. En esta síntesis, la señal OH parte de valores iniciales más bajos, muestra un aumento fuerte en la etapa media, una caída intermedia marcada y una recuperación posterior que le permite acercarse a los valores finales observados en SBO-P-15. Este carácter oscilante se observa tanto en la métrica OH puntual como en la banda OH por zona. Las bandas de C-O, éster y éter confirman esta lectura: el sistema no queda fuera de la familia base, pero desarrolla su firma espectral de un modo más irregular y menos homogéneo. Por ello, SBO-P-20 puede considerarse compatible con la ruta general de funcionalización, aunque no reproduzca de manera exacta la evolución espectral observada en SBO-P-15.</w:t>
      </w:r>
    </w:p>
    <w:p w:rsidR="00000000" w:rsidDel="00000000" w:rsidP="00000000" w:rsidRDefault="00000000" w:rsidRPr="00000000" w14:paraId="0000003B">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conjunto, la comparación de estas cuatro síntesis permite afirmar que existe una familia base FTIR bien definida para el bloque de 24 horas, integrada por SBO-P-15, SBO-P-16, SBO-P-17 y SBO-P-20. Sin embargo, dentro de esa familia persisten diferencias de intensidad, velocidad de evolución y estabilidad de la trayectoria. SBO-P-17 representa la evolución más rápida e intensa; SBO-P-15 y SBO-P-16 constituyen la trayectoria base más ordenada; y SBO-P-20 expresa una respuesta compatible pero más oscilante.</w:t>
      </w:r>
    </w:p>
    <w:p w:rsidR="00000000" w:rsidDel="00000000" w:rsidP="00000000" w:rsidRDefault="00000000" w:rsidRPr="00000000" w14:paraId="0000003C">
      <w:pPr>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D">
      <w:pPr>
        <w:ind w:firstLine="141.73228346456688"/>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E">
      <w:pPr>
        <w:pStyle w:val="Heading3"/>
        <w:ind w:firstLine="141.73228346456688"/>
        <w:jc w:val="both"/>
        <w:rPr/>
      </w:pPr>
      <w:bookmarkStart w:colFirst="0" w:colLast="0" w:name="_x2jis5tkzrvu" w:id="9"/>
      <w:bookmarkEnd w:id="9"/>
      <w:r w:rsidDel="00000000" w:rsidR="00000000" w:rsidRPr="00000000">
        <w:rPr>
          <w:rtl w:val="0"/>
        </w:rPr>
        <w:t xml:space="preserve">6.#.#.# SBO-P-18: efecto del cambio de protocolo de secado y del tratamiento posterior</w:t>
      </w:r>
    </w:p>
    <w:p w:rsidR="00000000" w:rsidDel="00000000" w:rsidP="00000000" w:rsidRDefault="00000000" w:rsidRPr="00000000" w14:paraId="0000003F">
      <w:pPr>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0">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SBO-P-18 debe analizarse como un bloque particular dentro del conjunto, ya que combina una modificación hidrodinámica del sistema con una comparación </w:t>
      </w:r>
      <w:r w:rsidDel="00000000" w:rsidR="00000000" w:rsidRPr="00000000">
        <w:rPr>
          <w:rFonts w:ascii="Calibri" w:cs="Calibri" w:eastAsia="Calibri" w:hAnsi="Calibri"/>
          <w:i w:val="1"/>
          <w:iCs w:val="1"/>
          <w:sz w:val="24"/>
          <w:szCs w:val="24"/>
          <w:rtl w:val="0"/>
        </w:rPr>
        <w:t xml:space="preserve">downstream</w:t>
      </w:r>
      <w:r w:rsidDel="00000000" w:rsidR="00000000" w:rsidRPr="00000000">
        <w:rPr>
          <w:rFonts w:ascii="Calibri" w:cs="Calibri" w:eastAsia="Calibri" w:hAnsi="Calibri"/>
          <w:sz w:val="24"/>
          <w:szCs w:val="24"/>
          <w:rtl w:val="0"/>
        </w:rPr>
        <w:t xml:space="preserve"> en tres secado con bomba de diafragma y secado con bomba de aceite, además de una rama específica tratada mediante Fenton. En consecuencia, su comparación con las síntesis base debe realizarse con cautela.</w:t>
      </w:r>
    </w:p>
    <w:p w:rsidR="00000000" w:rsidDel="00000000" w:rsidP="00000000" w:rsidRDefault="00000000" w:rsidRPr="00000000" w14:paraId="00000041">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análisis FTIR muestra que tanto la serie asociada a diafragma como la serie asociada a bomba de aceite siguen una evolución general coherente con el resto del bloque, con aumento de OH y crecimiento de bandas oxigenadas a medida que avanza la cinética. Sin embargo, la separación entre ambas ramas no responde a una superioridad lineal o uniforme de una condición sobre la otra. Por el contrario, ambas trayectorias se cruzan en distintos puntos de la cinética, y la diferencia entre ellas depende de la variable analizada y del intervalo temporal considerado.</w:t>
      </w:r>
    </w:p>
    <w:p w:rsidR="00000000" w:rsidDel="00000000" w:rsidP="00000000" w:rsidRDefault="00000000" w:rsidRPr="00000000" w14:paraId="00000042">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comportamiento es importante porque impide sostener una interpretación simplificada del tipo ‘mejor vacío implica mayor señal OH en toda la cinética’. Lo que sí muestran los datos es que el cambio de protocolo modifica la trayectoria analítica del sistema y que la magnitud relativa de esa diferencia depende del momento de reacción y del indicador espectral considerado. Desde esta perspectiva, SBO-P-18 no separa dos familias químicas distintas, sino dos recorridos analíticos parcialmente diferentes dentro de una misma lógica de transformación.</w:t>
      </w:r>
    </w:p>
    <w:p w:rsidR="00000000" w:rsidDel="00000000" w:rsidP="00000000" w:rsidRDefault="00000000" w:rsidRPr="00000000" w14:paraId="00000043">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rama Fenton mostró un comportamiento claramente particular. En FTIR, estas muestras conservan señales OH altas y bandas oxigenadas intensas, aunque sin sobrepasar de forma uniforme a la cinética tardía de las otras ramas. Su interés no reside tanto en una superioridad espectral neta como en el hecho de constituir una modificación posterior del poliol que afecta simultáneamente la firma FTIR y la reología del material. Por ello, las muestras Fenton deben leerse como un tratamiento específico de SBO-P-18 y no como continuación ordinaria de la trayectoria base de síntesis.</w:t>
      </w:r>
    </w:p>
    <w:p w:rsidR="00000000" w:rsidDel="00000000" w:rsidP="00000000" w:rsidRDefault="00000000" w:rsidRPr="00000000" w14:paraId="00000044">
      <w:pPr>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5">
      <w:pPr>
        <w:ind w:firstLine="141.73228346456688"/>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6">
      <w:pPr>
        <w:pStyle w:val="Heading3"/>
        <w:ind w:firstLine="141.73228346456688"/>
        <w:jc w:val="both"/>
        <w:rPr/>
      </w:pPr>
      <w:bookmarkStart w:colFirst="0" w:colLast="0" w:name="_ifv4itheablo" w:id="10"/>
      <w:bookmarkEnd w:id="10"/>
      <w:r w:rsidDel="00000000" w:rsidR="00000000" w:rsidRPr="00000000">
        <w:rPr>
          <w:rtl w:val="0"/>
        </w:rPr>
        <w:t xml:space="preserve">6.2.4.3 SBO-P-19 trayectoria FTIR del sistema sin H2SO4</w:t>
      </w:r>
    </w:p>
    <w:p w:rsidR="00000000" w:rsidDel="00000000" w:rsidP="00000000" w:rsidRDefault="00000000" w:rsidRPr="00000000" w14:paraId="00000047">
      <w:pPr>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8">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SBO-P-19 constituye una corrida metodológicamente diferenciada dentro del bloque, ya que su formulación prescinde del H2SO4 y compensa el entorno ácido mediante un aumento del ácido fórmico. desde el punto de vista FTIR, esta síntesis no aparece como una corrida más débil ni como una ruta interrumpida. Por el contrario, la señal OH alcanza en esta síntesis una de las intensidades más altas del bloque, con un desarrollo muy marcado en la zona tardía de la cinética.</w:t>
      </w:r>
    </w:p>
    <w:p w:rsidR="00000000" w:rsidDel="00000000" w:rsidP="00000000" w:rsidRDefault="00000000" w:rsidRPr="00000000" w14:paraId="00000049">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Sin embargo, esta intensificación de la señal OH no viene acompañada por un aumento proporcional de todas las demás bandas oxigenadas. En particular, las señales C-O, éster y éter crecen, pero no lo hacen con la misma intensidad relativa que en las síntesis base más desarrolladas. Esto sugiere que la firma espectral de SBO-P-19 no es simplemente una versión más intensa de la familia base, sino una trayectoria diferente dentro del espacio químico del bloque.</w:t>
      </w:r>
    </w:p>
    <w:p w:rsidR="00000000" w:rsidDel="00000000" w:rsidP="00000000" w:rsidRDefault="00000000" w:rsidRPr="00000000" w14:paraId="0000004A">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Otro rasgo importante es que la máxima intensidad FTIR útil de SBO-P-19 se observa en la cinética tardía y no en los estados downstream finales. Las muestras RV y DRY presentan una caída respecto de los máximos de OH observados durante la reacción, lo que indica que la etapa posterior al reactor afecta de manera significativa la expresión espectral del material. En términos comparativos, SBO-P-19 demuestra que la ausencia de H2SO4 no impide la construcción de una firma FTIR intensa, pero sí produce un perfil analítico distinto del observado en la síntesis base con H2SO4.</w:t>
      </w:r>
    </w:p>
    <w:p w:rsidR="00000000" w:rsidDel="00000000" w:rsidP="00000000" w:rsidRDefault="00000000" w:rsidRPr="00000000" w14:paraId="0000004B">
      <w:pPr>
        <w:ind w:firstLine="141.73228346456688"/>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C">
      <w:pPr>
        <w:ind w:firstLine="141.73228346456688"/>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D">
      <w:pPr>
        <w:pStyle w:val="Heading3"/>
        <w:ind w:firstLine="141.73228346456688"/>
        <w:jc w:val="both"/>
        <w:rPr/>
      </w:pPr>
      <w:bookmarkStart w:colFirst="0" w:colLast="0" w:name="_h6mpjwx24wix" w:id="11"/>
      <w:bookmarkEnd w:id="11"/>
      <w:r w:rsidDel="00000000" w:rsidR="00000000" w:rsidRPr="00000000">
        <w:rPr>
          <w:rtl w:val="0"/>
        </w:rPr>
        <w:t xml:space="preserve">6.#.#.# Ensayo de transesterificación en SBO-P-15 </w:t>
      </w:r>
    </w:p>
    <w:p w:rsidR="00000000" w:rsidDel="00000000" w:rsidP="00000000" w:rsidRDefault="00000000" w:rsidRPr="00000000" w14:paraId="0000004E">
      <w:pPr>
        <w:spacing w:line="276"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F">
      <w:pPr>
        <w:spacing w:line="276"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Dentro de SBO-P-15 se analizó además un ensayo de transesterificación o glicerólisis suave del poliol, comparando las muestras M00, M03 y M03_MgO. Este ensayo tuvo como objetivo explorar si un tratamiento post-síntesis con glicerol podía incrementar la señal asociada a grupos OH terminales o producir una reorganización estructural detectable por FTIR.</w:t>
      </w:r>
    </w:p>
    <w:p w:rsidR="00000000" w:rsidDel="00000000" w:rsidP="00000000" w:rsidRDefault="00000000" w:rsidRPr="00000000" w14:paraId="00000050">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comparación de las tres muestras mostró que el índice OH puntual permaneció prácticamente constante y que la banda OH por zona no presentó aumento respecto de la muestra inicial. Por el contrario, la señal integrada del OH mostró una leve disminución en las muestras tratadas. Llos valores de OH puntual fueron 93,59; 93,19 y 93,38 mg KOH/g para las muestras M00, M03 y M03_MgO, respectivamente, mientras que la señal OH integrada normalizada permaneció en el mismo orden de magnitud (272,46; 268,60 y 253,62). Al ampliar el análisis FTIR a los otros grupos funcionales operativos, se observó que las absorbancias puntuales de C-O, éster y éter aumentan solo levemente respecto de M00, en el orden de 3,5%, mientras que CH2 cambia muy poco y las señales de C=C y epóxido permanecen en el mismo orden, sin una tendencia monotónica consistente entre M03 y M03-MgO. Las áreas corregidas por zona acompañan parcialmente esta lectura: C-O aumenta ligeramente, éster se incrementa en M03 pero no se sostiene en M03_MgO, y éter, C=C y epóxido muestran oscilaciones pequeñas.</w:t>
      </w:r>
    </w:p>
    <w:p w:rsidR="00000000" w:rsidDel="00000000" w:rsidP="00000000" w:rsidRDefault="00000000" w:rsidRPr="00000000" w14:paraId="00000051">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consecuencia, el ensayo no aporta evidencia FTIR robusta de incremento OH ni de una reorganización estructural importante del poliol bajo las condiciones empleadas. La lectura más prudente es que el tratamiento produjo, a lo sumo, una modificación limitada del entorno oxigenado, insuficiente para sostener una transformación clara del material a partir de FTIR.</w:t>
      </w:r>
    </w:p>
    <w:p w:rsidR="00000000" w:rsidDel="00000000" w:rsidP="00000000" w:rsidRDefault="00000000" w:rsidRPr="00000000" w14:paraId="00000052">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##estructura impenetrable##</w:t>
      </w:r>
    </w:p>
    <w:p w:rsidR="00000000" w:rsidDel="00000000" w:rsidP="00000000" w:rsidRDefault="00000000" w:rsidRPr="00000000" w14:paraId="00000053">
      <w:pPr>
        <w:ind w:firstLine="141.73228346456688"/>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54">
      <w:pPr>
        <w:ind w:firstLine="141.73228346456688"/>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55">
      <w:pPr>
        <w:pStyle w:val="Heading3"/>
        <w:ind w:firstLine="141.73228346456688"/>
        <w:jc w:val="both"/>
        <w:rPr/>
      </w:pPr>
      <w:bookmarkStart w:colFirst="0" w:colLast="0" w:name="_d3bylkvzim59" w:id="12"/>
      <w:bookmarkEnd w:id="12"/>
      <w:r w:rsidDel="00000000" w:rsidR="00000000" w:rsidRPr="00000000">
        <w:rPr>
          <w:rtl w:val="0"/>
        </w:rPr>
        <w:t xml:space="preserve">6.#.#.# integración comparativa del bloque tire SBO-P-15 a SBO-P-20 </w:t>
      </w:r>
    </w:p>
    <w:p w:rsidR="00000000" w:rsidDel="00000000" w:rsidP="00000000" w:rsidRDefault="00000000" w:rsidRPr="00000000" w14:paraId="00000056">
      <w:pPr>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7">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primer lugar, existe una familia base claramente reconocible, integrada por SBO-P-15, SBO-P-16, SBO-P-17 y SBO-P-20, en la que la evolución útil del FTIR se manifiesta por el aumento de la señal OH y el crecimiento concomitante de las bandas de C-O, éster y éter. Dentro de esta familia, SBO-P-17 constituye la trayectoria más intensa y más rápida, mientras que SBO-P-15 y SBO-P-16 representan la evolución más ordenada y estable. SBO-P-20 se incorpora a esta familia con una respuesta compatible, aunque menos uniforme y más oscilante.</w:t>
      </w:r>
    </w:p>
    <w:p w:rsidR="00000000" w:rsidDel="00000000" w:rsidP="00000000" w:rsidRDefault="00000000" w:rsidRPr="00000000" w14:paraId="00000058">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segundo lugar, SBO-P-18 y SBO-P-19 no deben leerse como simples variantes menores del mismo esquema, sino como corridas que introducen ejes metodológicos propios. SBO-P-18 muestra que los cambios de protocolo en mezcla, secado y tratamientos posteriores modifican la trayectoria FTIR, aunque no generen una jerarquía lineal simple entre condiciones. SBO-P-19, por su parte, demuestra que una formulación sin H2SO4 puede producir una trayectoria FTIR intensa, pero con un perfil de bandas oxigenadas diferente del bloque base.</w:t>
      </w:r>
    </w:p>
    <w:p w:rsidR="00000000" w:rsidDel="00000000" w:rsidP="00000000" w:rsidRDefault="00000000" w:rsidRPr="00000000" w14:paraId="00000059">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tercer lugar, el bloque pone de manifiesto que las métricas OH puntual y OH por zonas son complementarias, no redundantes. Ambas coinciden en la dirección general de cambio, pero difieren en la forma en que capturan trayectorias oscilantes, intensificaciones tardías o modificaciones de línea de base asociadas al ensanchamiento de banda. Del mismo modo, las bandas de C=C y epóxido no deben utilizarse como trazadores únicos y lineales de la evolución del sistema, ya que presentan rebotes y estabilizaciones parciales a lo largo de la cinética.</w:t>
      </w:r>
    </w:p>
    <w:p w:rsidR="00000000" w:rsidDel="00000000" w:rsidP="00000000" w:rsidRDefault="00000000" w:rsidRPr="00000000" w14:paraId="0000005A">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conjunto, el análisis del bloque SBO-P-15 a SBO-P-20 muestra que la funcionalización del aceite de soja hacia materiales tipo poliol sigue una lógica espectral reconocible, pero sensible a la materia prima, a la historia de neutralización, al downstream y a las condiciones particulares de cada ensayo. Por ello, la comparación entre síntesis no debe apoyarse en un único indicador ni en una lectura lineal simplificada, sino en la integración de las tres capas obligatorias del método FTIR del proyecto: índice OH puntual, banda OH por zona y comportamiento relativo de otros grupos funcionales.</w:t>
      </w:r>
    </w:p>
    <w:p w:rsidR="00000000" w:rsidDel="00000000" w:rsidP="00000000" w:rsidRDefault="00000000" w:rsidRPr="00000000" w14:paraId="0000005B">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Desde el punto de vista del capítulo, este bloque FTIR aporta una lectura comparativa útil porque conecta la historia experimental del sistema con una base analítica común. De este modo, las diferencias entre síntesis no se interpretan sólo como variaciones de formulación, sino como trayectorias químicas distintas dentro de un mismo espacio metodológico. En términos de discusión, este bloque FTIR respalda una idea central del proyecto: la funcionalización del aceite hacia materiales tipo poliol no depende de una única trayectoria espectral rígida, sino de una familia de trayectorias compatibles cuya forma final queda modulada por la materia prima, la hidrodinámica, el downstream y la estrategia ácido-redox utilizada en cada síntesis.</w:t>
      </w:r>
    </w:p>
    <w:p w:rsidR="00000000" w:rsidDel="00000000" w:rsidP="00000000" w:rsidRDefault="00000000" w:rsidRPr="00000000" w14:paraId="0000005C">
      <w:pPr>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D">
      <w:pPr>
        <w:ind w:firstLine="141.73228346456688"/>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5E">
      <w:pPr>
        <w:pStyle w:val="Heading1"/>
        <w:ind w:firstLine="141.73228346456688"/>
        <w:jc w:val="both"/>
        <w:rPr/>
      </w:pPr>
      <w:bookmarkStart w:colFirst="0" w:colLast="0" w:name="_skuq18i6463t" w:id="13"/>
      <w:bookmarkEnd w:id="13"/>
      <w:r w:rsidDel="00000000" w:rsidR="00000000" w:rsidRPr="00000000">
        <w:rPr>
          <w:rtl w:val="0"/>
        </w:rPr>
        <w:t xml:space="preserve">6.# Determinación del índice de yodo (IV)</w:t>
      </w:r>
    </w:p>
    <w:p w:rsidR="00000000" w:rsidDel="00000000" w:rsidP="00000000" w:rsidRDefault="00000000" w:rsidRPr="00000000" w14:paraId="0000005F">
      <w:pPr>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0">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esta tesis, el índice de yodo se interpretó con cautela y no se utilizó como indicador cuantitativo robusto del avance de reacción y de la insaturación remanente en mezclas reaccionantes, productos intermedios o polioles finales. La discusión de esta variable se restringió principalmente a la caracterización comparativa de aceites de soja de partida y a la evaluación crítica del alcance real del método empleado.</w:t>
      </w:r>
    </w:p>
    <w:p w:rsidR="00000000" w:rsidDel="00000000" w:rsidP="00000000" w:rsidRDefault="00000000" w:rsidRPr="00000000" w14:paraId="00000061">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norma ASTM D1959 define el método de Wijs para aceites y ácidos grasos, y aclara que, en muestras con sistemas conjugados, el valor obtenido no representa la insaturación total, sino un resultado empírico útil para comparación. Esta observación delimita el alcance del método y desaconseja extrapolarlo sin más a matrices químicamente complejas o insuficientemente definidas.</w:t>
      </w:r>
    </w:p>
    <w:p w:rsidR="00000000" w:rsidDel="00000000" w:rsidP="00000000" w:rsidRDefault="00000000" w:rsidRPr="00000000" w14:paraId="00000062">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Además, la propia ASTM D1959 exige seleccionar la masa de muestras de modo que el reactivo Wijs quede en un exceso controlado. Para aceites normales o no conjugados, la norma fija un exceso de 125 ± 25% y remite a su Tabla 1 para elegir la masa de muestra en función del índice de yodo esperado. Esto implica que la masa no constituye un detalle secundario del procedimiento, sino una condición metodológica crítica. En consecuencia, el método funciona razonablemente cuando se conoce de antemano el orden de magnitud del IV de la matriz ensayada, pero se vuelve circular cuando se aplica a productos cuya composición no es conocida a priori.</w:t>
      </w:r>
    </w:p>
    <w:p w:rsidR="00000000" w:rsidDel="00000000" w:rsidP="00000000" w:rsidRDefault="00000000" w:rsidRPr="00000000" w14:paraId="00000063">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el sistema estudiado aquí, la dificultad interpretativa es todavía mayor. Aunque el aceite de soja crudo de partida constituye una matriz conocida con un intervalo de IV esperable, los productos generados en la síntesis one-pot no pueden describirse del mismo modo. Se trata de mezclas complejas en las que coexisten especies insaturadas remanentes, productos de epoxidación, apertura de anillo y transformaciones secundarias. En estas condiciones, la comparación entre un IV medido y un IV esperado depende de supuestos estructurales que no pueden garantizarse.</w:t>
      </w:r>
    </w:p>
    <w:p w:rsidR="00000000" w:rsidDel="00000000" w:rsidP="00000000" w:rsidRDefault="00000000" w:rsidRPr="00000000" w14:paraId="00000064">
      <w:pPr>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5">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Tabla #: Dependencia del IV medido con la masa de muestra en aceite de soja crudo.</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Muestra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Masa de muestra</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IV medido</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 I2/100g]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SBO-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0,1404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126,54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0,1420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124,22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0,1613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121,94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0,2075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109,47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0,5252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41,56</w:t>
            </w:r>
          </w:p>
        </w:tc>
      </w:tr>
    </w:tbl>
    <w:p w:rsidR="00000000" w:rsidDel="00000000" w:rsidP="00000000" w:rsidRDefault="00000000" w:rsidRPr="00000000" w14:paraId="0000007A">
      <w:pPr>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aceites normales o no conjugados con IV del orden de 120-130, la tabla 1 de ASTM D1959 sugiere masas de muestra aproximadamente entre 0,20 y 0,26 g.</w:t>
      </w:r>
    </w:p>
    <w:p w:rsidR="00000000" w:rsidDel="00000000" w:rsidP="00000000" w:rsidRDefault="00000000" w:rsidRPr="00000000" w14:paraId="0000007B">
      <w:pPr>
        <w:ind w:firstLine="141.73228346456688"/>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7C">
      <w:pPr>
        <w:spacing w:before="0" w:lineRule="auto"/>
        <w:ind w:firstLine="14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resultados experimentales muestran que, aún en aceite de soja crudo, el IV obtenido depende fuertemente de la masa de muestra utilizada. Esta variación no puede interpretarse como una simple dispersión analítica menor, ya que conduce a diferencias que modifican la lectura química del sistema. Por ello, en las condiciones del proyecto, el método no se consideró robusto para seguir el consumo de dobles enlaces en matrices transformadas.</w:t>
      </w:r>
    </w:p>
    <w:p w:rsidR="00000000" w:rsidDel="00000000" w:rsidP="00000000" w:rsidRDefault="00000000" w:rsidRPr="00000000" w14:paraId="0000007D">
      <w:pPr>
        <w:spacing w:before="0" w:lineRule="auto"/>
        <w:ind w:firstLine="14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esta dependencia aparece ya en una materia prima conocida, donde todavía existe un rango histórico de referencia y una ventana ASTM orientativa para seleccionar la masa, la limitación se vuelve todavía más severa en mezclas reaccionantes, intermedios y polioles finales. En esos casos, la composición real ya no puede considerarse conocida y, por lo tanto, la elección de la masa adecuada pasa a depender del mismo valor que se intenta medir. En consecuencia, en esta tesis el IV se conserva como variable comparativa para aceites de partida, pero no se lo emplea como criterio cuantitativo principal para discutir la evolución química de los polioles.</w:t>
      </w:r>
    </w:p>
    <w:p w:rsidR="00000000" w:rsidDel="00000000" w:rsidP="00000000" w:rsidRDefault="00000000" w:rsidRPr="00000000" w14:paraId="0000007E">
      <w:pPr>
        <w:ind w:firstLine="141.73228346456688"/>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7F">
      <w:pPr>
        <w:ind w:firstLine="141.73228346456688"/>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80">
      <w:pPr>
        <w:pStyle w:val="Heading1"/>
        <w:ind w:firstLine="141.73228346456688"/>
        <w:jc w:val="both"/>
        <w:rPr/>
      </w:pPr>
      <w:bookmarkStart w:colFirst="0" w:colLast="0" w:name="_mdwnivb1f3du" w:id="14"/>
      <w:bookmarkEnd w:id="14"/>
      <w:r w:rsidDel="00000000" w:rsidR="00000000" w:rsidRPr="00000000">
        <w:rPr>
          <w:rtl w:val="0"/>
        </w:rPr>
        <w:t xml:space="preserve">6.4 Índice de acidez (AV) </w:t>
      </w:r>
    </w:p>
    <w:p w:rsidR="00000000" w:rsidDel="00000000" w:rsidP="00000000" w:rsidRDefault="00000000" w:rsidRPr="00000000" w14:paraId="00000081">
      <w:pPr>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2">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índice de acidez constituye una de las variables más relevantes del desarrollo experimental, ya que permitió vincular la evolución química del sistema con la viabilidad real del downstream. Su análisis en este capítulo se orienta a identificar tendencias de acidez residual, límites de las estrategias de neutralización y diferencias entre síntesis comparables.</w:t>
      </w:r>
    </w:p>
    <w:p w:rsidR="00000000" w:rsidDel="00000000" w:rsidP="00000000" w:rsidRDefault="00000000" w:rsidRPr="00000000" w14:paraId="00000083">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consecuencia, la discusión del AV no se limita a identificar qué síntesis terminan con mayor o menor acidez, sino a reconocer que condiciones de proceso favorecen la persistencia de especies ácidas o dificultan su remoción efectiva. Esta lectura es especialmente importante para interpretar los bloques SBO-P-16 a SBO-P-19, donde la acidez final se relaciona de manera directa con la estrategia de neutralización, la historia térmica y la tratabilidad del sistema.</w:t>
      </w:r>
    </w:p>
    <w:p w:rsidR="00000000" w:rsidDel="00000000" w:rsidP="00000000" w:rsidRDefault="00000000" w:rsidRPr="00000000" w14:paraId="00000084">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consecuencia, la discusión del AV, la naturaleza y la concentración efectiva de la base se consideran variables relevantes, pero no suficientes por sí solas para explicar la acidez final. Su efecto se interpreta siempre en interacción con la viscosidad del medio, la liberación de gases, la retención de sólidos y la severidad del downstream.</w:t>
      </w:r>
    </w:p>
    <w:p w:rsidR="00000000" w:rsidDel="00000000" w:rsidP="00000000" w:rsidRDefault="00000000" w:rsidRPr="00000000" w14:paraId="00000085">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discusión del índice de acidez se centra en su valor como indicador operativo de viabilidad del downstream y no únicamente como dato analítico aislado. En particular, se consideró su evolución entre estados de síntesis y de acondicionamiento, así como su sensibilidad frente a la estrategia de neutralización empleada. Por ello, los valores absolutos deben interpretarse en el contexto de la muestra, del neutralizante y del momento del proceso en que fueron determinados.</w:t>
      </w:r>
    </w:p>
    <w:p w:rsidR="00000000" w:rsidDel="00000000" w:rsidP="00000000" w:rsidRDefault="00000000" w:rsidRPr="00000000" w14:paraId="00000086">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ello, una disminución puntual del índice de acidez no se interpreta aquí como evidencia suficiente de éxito global si el sistema continúa mostrando problemas de gasificación, retención de sólidos, alta viscosidad o dificultad de secado.</w:t>
      </w:r>
    </w:p>
    <w:p w:rsidR="00000000" w:rsidDel="00000000" w:rsidP="00000000" w:rsidRDefault="00000000" w:rsidRPr="00000000" w14:paraId="00000087">
      <w:pPr>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8">
      <w:pPr>
        <w:ind w:firstLine="141.73228346456688"/>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89">
      <w:pPr>
        <w:pStyle w:val="Heading1"/>
        <w:ind w:firstLine="141.73228346456688"/>
        <w:jc w:val="both"/>
        <w:rPr/>
      </w:pPr>
      <w:bookmarkStart w:colFirst="0" w:colLast="0" w:name="_dehmtgnh7ne0" w:id="15"/>
      <w:bookmarkEnd w:id="15"/>
      <w:r w:rsidDel="00000000" w:rsidR="00000000" w:rsidRPr="00000000">
        <w:rPr>
          <w:rtl w:val="0"/>
        </w:rPr>
        <w:t xml:space="preserve">6.5 monitoreo de variables de proceso </w:t>
      </w:r>
    </w:p>
    <w:p w:rsidR="00000000" w:rsidDel="00000000" w:rsidP="00000000" w:rsidRDefault="00000000" w:rsidRPr="00000000" w14:paraId="0000008A">
      <w:pPr>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B">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resultados de monitoreo se interpretan aquí en términos de utilidad operativa y de sus límites de representatividad. Más que una fuente de control continuo robusto, el monitoreo funcionó como una herramienta parcial para detectar cambios de estado del sistema y para evidenciar cuando la propia complejidad físicoquímica del medio comenzaba a comprometer la calidad de la señal.</w:t>
      </w:r>
    </w:p>
    <w:p w:rsidR="00000000" w:rsidDel="00000000" w:rsidP="00000000" w:rsidRDefault="00000000" w:rsidRPr="00000000" w14:paraId="0000008C">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ensayos de monitoreo evidencian que la respuesta de los sensores depende fuertemente de las condiciones del sistema. En particular, el aumento progresivo de la viscosidad durante la reacción afecta la representatividad de las mediciones cuando se emplean sistemas de recirculación, debido al incremento de los tiempos de renovación del fluido en la celda de medición.</w:t>
      </w:r>
    </w:p>
    <w:p w:rsidR="00000000" w:rsidDel="00000000" w:rsidP="00000000" w:rsidRDefault="00000000" w:rsidRPr="00000000" w14:paraId="0000008D">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conjunto, el monitoreo aportó información útil para reconocer transiciones del sistema y límites de operabilidad, pero no llegó a constituir una herramienta de control robusta y universal para todas las etapas de la síntesis. Su principal valor en este trabajo fue metodológico permitió identificar cuando el aumento de viscosidad, la agresividad química del medio o la configuración del dispositivo reducían la representatividad de las mediciones.</w:t>
      </w:r>
    </w:p>
    <w:p w:rsidR="00000000" w:rsidDel="00000000" w:rsidP="00000000" w:rsidRDefault="00000000" w:rsidRPr="00000000" w14:paraId="0000008E">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Asimismo, el carácter fuertemente oxidante del medio de reacción genera limitaciones en la estabilidad de ciertos sensores, observándose degradación del electrodo de ORP durante su uso.</w:t>
      </w:r>
    </w:p>
    <w:p w:rsidR="00000000" w:rsidDel="00000000" w:rsidP="00000000" w:rsidRDefault="00000000" w:rsidRPr="00000000" w14:paraId="0000008F">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Estas limitaciones explican la baja reproducibilidad de los datos obtenidos en configuraciones con celda externa y justifican la transición hacia mediciones directas en el reactor. En este contexto, la medición directa mediante sensores internos permite obtener información más representativa del sistema, particularmente durante la etapa de </w:t>
      </w:r>
      <w:r w:rsidDel="00000000" w:rsidR="00000000" w:rsidRPr="00000000">
        <w:rPr>
          <w:rFonts w:ascii="Calibri" w:cs="Calibri" w:eastAsia="Calibri" w:hAnsi="Calibri"/>
          <w:i w:val="1"/>
          <w:iCs w:val="1"/>
          <w:sz w:val="24"/>
          <w:szCs w:val="24"/>
          <w:rtl w:val="0"/>
        </w:rPr>
        <w:t xml:space="preserve">downstream</w:t>
      </w:r>
      <w:r w:rsidDel="00000000" w:rsidR="00000000" w:rsidRPr="00000000">
        <w:rPr>
          <w:rFonts w:ascii="Calibri" w:cs="Calibri" w:eastAsia="Calibri" w:hAnsi="Calibri"/>
          <w:sz w:val="24"/>
          <w:szCs w:val="24"/>
          <w:rtl w:val="0"/>
        </w:rPr>
        <w:t xml:space="preserve">, donde se </w:t>
      </w:r>
      <w:r w:rsidDel="00000000" w:rsidR="00000000" w:rsidRPr="00000000">
        <w:rPr>
          <w:rFonts w:ascii="Calibri" w:cs="Calibri" w:eastAsia="Calibri" w:hAnsi="Calibri"/>
          <w:sz w:val="24"/>
          <w:szCs w:val="24"/>
          <w:rtl w:val="0"/>
        </w:rPr>
        <w:t xml:space="preserve">producen cambios asociados a la disminución de acidez, la variación de la fuerza iónica y la pérdida de especies oxidantes. </w:t>
      </w:r>
    </w:p>
    <w:p w:rsidR="00000000" w:rsidDel="00000000" w:rsidP="00000000" w:rsidRDefault="00000000" w:rsidRPr="00000000" w14:paraId="00000090">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Estos resultados indican que el monitoreo de las variables físico-químicas puede ser una herramienta útil para seguir la evolución del sistema, aunque su implementación práctica presenta limitaciones significativas en sistemas altamente viscosos y reactivos.</w:t>
      </w:r>
    </w:p>
    <w:p w:rsidR="00000000" w:rsidDel="00000000" w:rsidP="00000000" w:rsidRDefault="00000000" w:rsidRPr="00000000" w14:paraId="00000091">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consecuencia, en esta tesis el monitoreo no se presenta como un sustituto de la caracterización posterior, sino como un recurso complementario cuya utilidad depende fuertemente del estado físico del sistema y de la roburobustez del dispositivo empleado.</w:t>
      </w:r>
    </w:p>
    <w:p w:rsidR="00000000" w:rsidDel="00000000" w:rsidP="00000000" w:rsidRDefault="00000000" w:rsidRPr="00000000" w14:paraId="00000092">
      <w:pPr>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3">
      <w:pPr>
        <w:ind w:firstLine="141.73228346456688"/>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94">
      <w:pPr>
        <w:pStyle w:val="Heading1"/>
        <w:ind w:firstLine="141.73228346456688"/>
        <w:jc w:val="both"/>
        <w:rPr/>
      </w:pPr>
      <w:bookmarkStart w:colFirst="0" w:colLast="0" w:name="_8ud5yt3tqt39" w:id="16"/>
      <w:bookmarkEnd w:id="16"/>
      <w:r w:rsidDel="00000000" w:rsidR="00000000" w:rsidRPr="00000000">
        <w:rPr>
          <w:rtl w:val="0"/>
        </w:rPr>
        <w:t xml:space="preserve">6.# Viscosidad del sistema reaccionante</w:t>
      </w:r>
    </w:p>
    <w:p w:rsidR="00000000" w:rsidDel="00000000" w:rsidP="00000000" w:rsidRDefault="00000000" w:rsidRPr="00000000" w14:paraId="00000095">
      <w:pPr>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6">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viscosidad no se considera únicamente una propiedad del producto, sino una variable de proceso que condiciona la mezcla, la desgasificación, la separación de fases, la neutralización y el tratamiento de muestras. Por ello, su discusión se integra aquí como una dimensión central de la operabilidad del sistema.</w:t>
      </w:r>
    </w:p>
    <w:p w:rsidR="00000000" w:rsidDel="00000000" w:rsidP="00000000" w:rsidRDefault="00000000" w:rsidRPr="00000000" w14:paraId="00000097">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esta razón, la discusión reológica se aborda aquí con una lógica doble: como propiedad del material obtenido y como restricción de proceso. Este enfoque permite conectar los resultados instrumentales de viscosidad con problemas de mezcla, neutralización, secado y tratabilidad observados experimentalmente a lo largo de las corridas.</w:t>
      </w:r>
    </w:p>
    <w:p w:rsidR="00000000" w:rsidDel="00000000" w:rsidP="00000000" w:rsidRDefault="00000000" w:rsidRPr="00000000" w14:paraId="00000098">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Desde el punto de vista de la discusión, este comportamiento reológico ayuda a explicar por qué la evolución química y el acondicionamiento posterior no pueden analizarse por separado. A medida que la viscosidad aumenta, cambian simultáneamente la calidad del mezclado, la liberación de gases, la separación de fases y la eficiencia aparente de operaciones como neutralización, lavado y secado.</w:t>
      </w:r>
    </w:p>
    <w:p w:rsidR="00000000" w:rsidDel="00000000" w:rsidP="00000000" w:rsidRDefault="00000000" w:rsidRPr="00000000" w14:paraId="00000099">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términos generales, el sistema mostró un comportamiento predominantemente newtoniano en buena parte del rango de medición, aunque las muestras más viscosas exhibieron una leve desviación pseudoplástica a altas velocidades de corte.</w:t>
      </w:r>
    </w:p>
    <w:p w:rsidR="00000000" w:rsidDel="00000000" w:rsidP="00000000" w:rsidRDefault="00000000" w:rsidRPr="00000000" w14:paraId="0000009A">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 transición moderada hacia un régimen pseudoplástico en las muestras más viscosas refuerza la idea de que la complejidad del sistema no surge sólo de la composición química, sino también de su evolución microestructural y de la dificultad creciente para homogeneizar durante el proceso.</w:t>
      </w:r>
    </w:p>
    <w:p w:rsidR="00000000" w:rsidDel="00000000" w:rsidP="00000000" w:rsidRDefault="00000000" w:rsidRPr="00000000" w14:paraId="0000009B">
      <w:pPr>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C">
      <w:pPr>
        <w:ind w:firstLine="141.73228346456688"/>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9D">
      <w:pPr>
        <w:pStyle w:val="Heading1"/>
        <w:ind w:firstLine="141.73228346456688"/>
        <w:jc w:val="both"/>
        <w:rPr/>
      </w:pPr>
      <w:bookmarkStart w:colFirst="0" w:colLast="0" w:name="_6bdnhxxlwxbe" w:id="17"/>
      <w:bookmarkEnd w:id="17"/>
      <w:r w:rsidDel="00000000" w:rsidR="00000000" w:rsidRPr="00000000">
        <w:rPr>
          <w:rtl w:val="0"/>
        </w:rPr>
        <w:t xml:space="preserve">6.7 problemas operativos y limitaciones experimentales</w:t>
      </w:r>
    </w:p>
    <w:p w:rsidR="00000000" w:rsidDel="00000000" w:rsidP="00000000" w:rsidRDefault="00000000" w:rsidRPr="00000000" w14:paraId="0000009E">
      <w:pPr>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F">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esta sección se distinguen dos niveles de lectura. Por un lado, se presentan observaciones empíricas respaldadas por el desarrollo experimental; por otro, se explicitan limitaciones que funcionan como marco interpretativo del sistema. Esta distinción es importante para no confundir resultados consolidados con hipótesis operativas o notas de trabajo.</w:t>
      </w:r>
    </w:p>
    <w:p w:rsidR="00000000" w:rsidDel="00000000" w:rsidP="00000000" w:rsidRDefault="00000000" w:rsidRPr="00000000" w14:paraId="000000A0">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dificultades listadas a continuación no deben leerse como incidentes aislados, sino como restricciones estructurales del sistema one-pot a escala piloto. En conjunto, estas limitaciones ayudan a explicar por qué ciertas decisiones metodológicas fueron adoptadas, modificadas o descartadas a lo largo del proyecto.</w:t>
      </w:r>
    </w:p>
    <w:p w:rsidR="00000000" w:rsidDel="00000000" w:rsidP="00000000" w:rsidRDefault="00000000" w:rsidRPr="00000000" w14:paraId="000000A1">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Estas limitaciones no invalidan los resultados obtenidos, pero si definen su marco de interpretación. En esta tesis, los datos analíticos y comparativos deben leerse siempre a la luz de un sistema one-pot a escala piloto cuya dificultad central no radicó únicamente en la transformación química, sino también en la posibilidad de sostener una operación y un acondicionamiento reproducibles.</w:t>
      </w:r>
    </w:p>
    <w:p w:rsidR="00000000" w:rsidDel="00000000" w:rsidP="00000000" w:rsidRDefault="00000000" w:rsidRPr="00000000" w14:paraId="000000A2">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Entre las limitaciones más persistentes del bloque experimental se identificaron problemas asociados a la liberación gaseosa, incremento de viscosidad, dificultad de acondicionamiento final y restricciones analíticas. La enumeración siguiente conserva estas observaciones como registro operativo del proyecto y como base para la discusión metodológica posterior. En términos operativos, las limitaciones más persistentes del sistema pueden agruparse en cuatro planos. El primero corresponde a la liberación gaseosa, atribuida a la descomposición del ácido perfórmico y del peróxido de hidrógeno, que afectó tanto la mezcla durante la síntesis como la separación de fases al finalizarla. El segundo corresponde al incremento progresivo de viscosidad, que se volvió especialmente crítico a partir de tiempos intermedios y tardíos de reacción, dificultando la agitación, la transferencia de masa y la separación del sistema.</w:t>
      </w:r>
    </w:p>
    <w:p w:rsidR="00000000" w:rsidDel="00000000" w:rsidP="00000000" w:rsidRDefault="00000000" w:rsidRPr="00000000" w14:paraId="000000A3">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este marco, las limitaciones operativas no se interpretan como fallas aisladas del procedimiento, sino como restricciones propias de un sistema one-pot viscoso, multifásico y fuertemente reactivo a escala piloto. Su discusión se incorpora aquí porque condiciona directamente la lectura de FTIR, acidez, secado tratabilidad y reproducibilidad del bloque experimental.</w:t>
      </w:r>
    </w:p>
    <w:p w:rsidR="00000000" w:rsidDel="00000000" w:rsidP="00000000" w:rsidRDefault="00000000" w:rsidRPr="00000000" w14:paraId="000000A4">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tercer plano corresponde a las restricciones de acondicionamiento del poliol obtenido. En este nivel aparecieron de manera recurrente una acidez residual elevada, del orden de 10 a 20 mg KOH/g, valores de OH que en algunos casos resultaron modestos para 24 horas de síntesis y dificultades para remover humedad sin someter al material a condiciones térmicas severas. El cuarto plano corresponde a limitaciones instrumentales y de estrategia, entre ellas la imposibilidad de utilizar ciertos solventes orgánicos para facilitar mezcla o secado, la dificultad para generar mayor vacío en algunas etapas y la ausencia de mediciones directas de peróxidos o epóxidos durante la corrida.</w:t>
      </w:r>
    </w:p>
    <w:p w:rsidR="00000000" w:rsidDel="00000000" w:rsidP="00000000" w:rsidRDefault="00000000" w:rsidRPr="00000000" w14:paraId="000000A5">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conjunto, estas restricciones refuerzan que el sistema fue desarrollado bajo una lógica one-pot y que su principal desafío no fue solo lograr la transformación química, sino sostenerla en condiciones compatibles con un downstream operable, una caracterización reproducible y una interpretación confiable de los resultados.</w:t>
      </w:r>
    </w:p>
    <w:p w:rsidR="00000000" w:rsidDel="00000000" w:rsidP="00000000" w:rsidRDefault="00000000" w:rsidRPr="00000000" w14:paraId="000000A6">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notas operativas anteriores se conservan como memoria del proceso de desarrollo, pero su formulación original no se incorpora aquí como texto final del capítulo. En la versión de tesis, estas limitaciones deben leerse como problemas estructurales del sistema one-pot a escala piloto y no como una lista abierta de pendientes de laboratorio. </w:t>
      </w:r>
    </w:p>
    <w:p w:rsidR="00000000" w:rsidDel="00000000" w:rsidP="00000000" w:rsidRDefault="00000000" w:rsidRPr="00000000" w14:paraId="000000A7">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Desde el punto de vista de la discusión, la combinación entre liberación gaseosa, incremento de viscosidad y acidez residual elevada explica que la viabilidad del sistema no dependa únicamente de la conversión química alcanzada, sino también de la posibilidad de acondicionar el medio en condiciones compatibles con una operación reproducible.</w:t>
      </w:r>
    </w:p>
    <w:p w:rsidR="00000000" w:rsidDel="00000000" w:rsidP="00000000" w:rsidRDefault="00000000" w:rsidRPr="00000000" w14:paraId="000000A8">
      <w:pPr>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9">
      <w:pPr>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A">
      <w:pPr>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B">
      <w:pPr>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C">
      <w:pPr>
        <w:spacing w:line="360"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D">
      <w:pPr>
        <w:spacing w:line="360"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2616200"/>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line="360"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video butilglicol</w:t>
      </w:r>
    </w:p>
    <w:p w:rsidR="00000000" w:rsidDel="00000000" w:rsidP="00000000" w:rsidRDefault="00000000" w:rsidRPr="00000000" w14:paraId="000000AF">
      <w:pPr>
        <w:spacing w:line="360"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0">
      <w:pPr>
        <w:spacing w:line="360" w:lineRule="auto"/>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1917700"/>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ind w:firstLine="141.73228346456688"/>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1494995" cy="1100138"/>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494995" cy="1100138"/>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line="360"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3">
      <w:pPr>
        <w:spacing w:line="360"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4">
      <w:pPr>
        <w:spacing w:line="360" w:lineRule="auto"/>
        <w:ind w:firstLine="141.7322834645668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5">
      <w:pPr>
        <w:spacing w:line="360" w:lineRule="auto"/>
        <w:ind w:firstLine="141.73228346456688"/>
        <w:jc w:val="both"/>
        <w:rPr>
          <w:rFonts w:ascii="Calibri" w:cs="Calibri" w:eastAsia="Calibri" w:hAnsi="Calibri"/>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141.73228346456688"/>
      <w:jc w:val="both"/>
    </w:pPr>
    <w:rPr>
      <w:rFonts w:ascii="Calibri" w:cs="Calibri" w:eastAsia="Calibri" w:hAnsi="Calibri"/>
      <w:b w:val="1"/>
      <w:bCs w:val="1"/>
      <w:sz w:val="30"/>
      <w:szCs w:val="30"/>
    </w:rPr>
  </w:style>
  <w:style w:type="paragraph" w:styleId="Heading2">
    <w:name w:val="heading 2"/>
    <w:basedOn w:val="Normal"/>
    <w:next w:val="Normal"/>
    <w:pPr>
      <w:keepNext w:val="1"/>
      <w:keepLines w:val="1"/>
      <w:ind w:firstLine="141.73228346456688"/>
      <w:jc w:val="both"/>
    </w:pPr>
    <w:rPr>
      <w:rFonts w:ascii="Calibri" w:cs="Calibri" w:eastAsia="Calibri" w:hAnsi="Calibri"/>
      <w:b w:val="1"/>
      <w:bCs w:val="1"/>
      <w:sz w:val="28"/>
      <w:szCs w:val="28"/>
    </w:rPr>
  </w:style>
  <w:style w:type="paragraph" w:styleId="Heading3">
    <w:name w:val="heading 3"/>
    <w:basedOn w:val="Normal"/>
    <w:next w:val="Normal"/>
    <w:pPr>
      <w:keepNext w:val="1"/>
      <w:keepLines w:val="1"/>
      <w:ind w:firstLine="141.73228346456688"/>
      <w:jc w:val="both"/>
    </w:pPr>
    <w:rPr>
      <w:rFonts w:ascii="Calibri" w:cs="Calibri" w:eastAsia="Calibri" w:hAnsi="Calibri"/>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ind w:firstLine="141.73228346456688"/>
      <w:jc w:val="both"/>
    </w:pPr>
    <w:rPr>
      <w:rFonts w:ascii="Calibri" w:cs="Calibri" w:eastAsia="Calibri" w:hAnsi="Calibri"/>
      <w:b w:val="1"/>
      <w:bCs w:val="1"/>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5.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