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ATRESIE DES VOIES BILIAIRES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1"/>
        </w:numPr>
      </w:pPr>
      <w:r>
        <w:rPr>
          <w:rFonts w:ascii="Times New Roman" w:hAnsi="Times New Roman"/>
        </w:rPr>
        <w:t>Cholangiopathie</w:t>
      </w:r>
      <w:r>
        <w:rPr>
          <w:rFonts w:ascii="Times New Roman" w:hAnsi="Times New Roman"/>
        </w:rPr>
        <w:t xml:space="preserve"> oblitérante, de cause inconnue, caractérisée par une obstruction des voies biliaires survenant en période périnatale (</w:t>
      </w:r>
      <w:r>
        <w:rPr>
          <w:rFonts w:ascii="Times New Roman" w:hAnsi="Times New Roman"/>
          <w:i/>
        </w:rPr>
        <w:t>efa</w:t>
      </w:r>
      <w:r>
        <w:rPr>
          <w:rFonts w:ascii="Times New Roman" w:hAnsi="Times New Roman"/>
          <w:i/>
        </w:rPr>
        <w:t xml:space="preserve"> formé </w:t>
      </w:r>
      <w:r>
        <w:rPr>
          <w:rFonts w:ascii="Times New Roman" w:hAnsi="Times New Roman"/>
          <w:i/>
        </w:rPr>
        <w:t>izay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vao</w:t>
      </w:r>
      <w:r>
        <w:rPr>
          <w:rFonts w:ascii="Times New Roman" w:hAnsi="Times New Roman"/>
          <w:i/>
        </w:rPr>
        <w:t xml:space="preserve"> obstrué, </w:t>
      </w:r>
      <w:r>
        <w:rPr>
          <w:rFonts w:ascii="Times New Roman" w:hAnsi="Times New Roman"/>
          <w:i/>
        </w:rPr>
        <w:t>tsy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misy</w:t>
      </w:r>
      <w:r>
        <w:rPr>
          <w:rFonts w:ascii="Times New Roman" w:hAnsi="Times New Roman"/>
          <w:i/>
        </w:rPr>
        <w:t xml:space="preserve"> malformation) </w:t>
      </w:r>
    </w:p>
    <w:p>
      <w:pPr>
        <w:numPr>
          <w:ilvl w:val="0"/>
          <w:numId w:val="1"/>
        </w:numPr>
      </w:pPr>
      <w:r>
        <w:rPr>
          <w:rFonts w:ascii="Times New Roman" w:hAnsi="Times New Roman"/>
        </w:rPr>
        <w:t>Première cause de cholestase néonatale</w:t>
      </w:r>
    </w:p>
    <w:p>
      <w:pPr>
        <w:numPr>
          <w:ilvl w:val="0"/>
          <w:numId w:val="1"/>
        </w:numPr>
      </w:pPr>
      <w:r>
        <w:rPr>
          <w:rFonts w:ascii="Times New Roman" w:hAnsi="Times New Roman"/>
        </w:rPr>
        <w:t>Evolution spontanée vers une cholestase et une cirrhose irréversible, décès avant l'âge de 3 ans</w:t>
      </w:r>
    </w:p>
    <w:p>
      <w:pPr>
        <w:numPr>
          <w:ilvl w:val="0"/>
          <w:numId w:val="1"/>
        </w:numPr>
      </w:pPr>
      <w:r>
        <w:rPr>
          <w:rFonts w:ascii="Times New Roman" w:hAnsi="Times New Roman"/>
        </w:rPr>
        <w:t>Urgence diagnostique</w:t>
      </w:r>
    </w:p>
    <w:p>
      <w:pPr>
        <w:numPr>
          <w:ilvl w:val="0"/>
          <w:numId w:val="1"/>
        </w:numPr>
      </w:pPr>
      <w:r>
        <w:rPr>
          <w:rFonts w:ascii="Times New Roman" w:hAnsi="Times New Roman"/>
        </w:rPr>
        <w:t>Traitement le plus tôt possible</w:t>
      </w:r>
    </w:p>
    <w:p>
      <w:pPr/>
    </w:p>
    <w:p>
      <w:pPr>
        <w:pStyle w:val="Heading2"/>
      </w:pPr>
      <w:r>
        <w:rPr/>
        <w:t>PHYSIOPATHOLOGIE</w:t>
      </w:r>
      <w:r>
        <w:rPr/>
        <w:t xml:space="preserve"> ET</w:t>
      </w:r>
      <w:r>
        <w:rPr/>
        <w:t xml:space="preserve"> ETIOLOGIE</w:t>
      </w:r>
      <w:r>
        <w:rPr/>
        <w:t>S</w:t>
      </w:r>
    </w:p>
    <w:p>
      <w:pPr>
        <w:numPr>
          <w:ilvl w:val="0"/>
          <w:numId w:val="2"/>
        </w:numPr>
      </w:pPr>
      <w:r>
        <w:rPr>
          <w:rFonts w:ascii="Times New Roman" w:hAnsi="Times New Roman"/>
        </w:rPr>
        <w:t>Anomalie d'origine inconnue</w:t>
      </w:r>
    </w:p>
    <w:p>
      <w:pPr>
        <w:numPr>
          <w:ilvl w:val="0"/>
          <w:numId w:val="2"/>
        </w:numPr>
      </w:pPr>
      <w:r>
        <w:rPr>
          <w:rFonts w:ascii="Times New Roman" w:hAnsi="Times New Roman"/>
        </w:rPr>
        <w:t xml:space="preserve">Atteinte diffuse des voies biliaires (intra et extra-hépatique) secondaire au cours de la vie </w:t>
      </w:r>
      <w:r>
        <w:rPr>
          <w:rFonts w:ascii="Times New Roman" w:hAnsi="Times New Roman"/>
        </w:rPr>
        <w:t>foetale</w:t>
      </w:r>
    </w:p>
    <w:p>
      <w:pPr>
        <w:numPr>
          <w:ilvl w:val="0"/>
          <w:numId w:val="2"/>
        </w:numPr>
      </w:pPr>
      <w:r>
        <w:rPr>
          <w:rFonts w:ascii="Times New Roman" w:hAnsi="Times New Roman"/>
        </w:rPr>
        <w:t>Hypothèses</w:t>
      </w:r>
      <w:r>
        <w:rPr>
          <w:rFonts w:ascii="Times New Roman" w:hAnsi="Times New Roman"/>
        </w:rPr>
        <w:t xml:space="preserve"> : infection</w:t>
      </w:r>
      <w:r>
        <w:rPr>
          <w:rFonts w:ascii="Times New Roman" w:hAnsi="Times New Roman"/>
        </w:rPr>
        <w:t xml:space="preserve"> virale au cours de la grossesse, génétique, facteurs tératogènes</w:t>
      </w:r>
    </w:p>
    <w:p>
      <w:pPr>
        <w:numPr>
          <w:ilvl w:val="0"/>
          <w:numId w:val="2"/>
        </w:numPr>
      </w:pPr>
      <w:r>
        <w:rPr>
          <w:rFonts w:ascii="Times New Roman" w:hAnsi="Times New Roman"/>
        </w:rPr>
        <w:t xml:space="preserve">Entrainant une inflammation des voies biliaires qui va provoquer une </w:t>
      </w:r>
      <w:r>
        <w:rPr>
          <w:rFonts w:ascii="Times New Roman" w:hAnsi="Times New Roman"/>
          <w:b/>
        </w:rPr>
        <w:t>oblitération</w:t>
      </w:r>
    </w:p>
    <w:p>
      <w:pPr>
        <w:numPr>
          <w:ilvl w:val="0"/>
          <w:numId w:val="2"/>
        </w:numPr>
      </w:pPr>
      <w:r>
        <w:rPr>
          <w:rFonts w:ascii="Times New Roman" w:hAnsi="Times New Roman"/>
          <w:b/>
        </w:rPr>
        <w:t>2 présentations</w:t>
      </w:r>
    </w:p>
    <w:p>
      <w:pPr>
        <w:numPr>
          <w:ilvl w:val="1"/>
          <w:numId w:val="2"/>
        </w:numPr>
      </w:pPr>
      <w:r>
        <w:rPr>
          <w:rFonts w:ascii="Times New Roman" w:hAnsi="Times New Roman"/>
        </w:rPr>
        <w:t>AVB isolé (90%)</w:t>
      </w:r>
    </w:p>
    <w:p>
      <w:pPr>
        <w:numPr>
          <w:ilvl w:val="1"/>
          <w:numId w:val="2"/>
        </w:numPr>
      </w:pPr>
      <w:r>
        <w:rPr>
          <w:rFonts w:ascii="Times New Roman" w:hAnsi="Times New Roman"/>
        </w:rPr>
        <w:t xml:space="preserve">AVB </w:t>
      </w:r>
      <w:r>
        <w:rPr>
          <w:rFonts w:ascii="Times New Roman" w:hAnsi="Times New Roman"/>
        </w:rPr>
        <w:t>syndromique (</w:t>
      </w:r>
      <w:r>
        <w:rPr>
          <w:rFonts w:ascii="Times New Roman" w:hAnsi="Times New Roman"/>
        </w:rPr>
        <w:t>10%)</w:t>
      </w:r>
    </w:p>
    <w:p>
      <w:pPr>
        <w:numPr>
          <w:ilvl w:val="2"/>
          <w:numId w:val="2"/>
        </w:numPr>
      </w:pPr>
      <w:r>
        <w:rPr>
          <w:rFonts w:ascii="Times New Roman" w:hAnsi="Times New Roman"/>
        </w:rPr>
        <w:t>Origine génétique à évoquer</w:t>
      </w:r>
    </w:p>
    <w:p>
      <w:pPr>
        <w:numPr>
          <w:ilvl w:val="2"/>
          <w:numId w:val="2"/>
        </w:numPr>
      </w:pPr>
      <w:r>
        <w:rPr>
          <w:rFonts w:ascii="Times New Roman" w:hAnsi="Times New Roman"/>
        </w:rPr>
        <w:t>Association d'anomalie intra-abdominale</w:t>
      </w:r>
    </w:p>
    <w:p>
      <w:pPr>
        <w:numPr>
          <w:ilvl w:val="2"/>
          <w:numId w:val="2"/>
        </w:numPr>
      </w:pPr>
      <w:r>
        <w:rPr>
          <w:rFonts w:ascii="Times New Roman" w:hAnsi="Times New Roman"/>
        </w:rPr>
        <w:t xml:space="preserve">Syndrome de </w:t>
      </w:r>
      <w:r>
        <w:rPr>
          <w:rFonts w:ascii="Times New Roman" w:hAnsi="Times New Roman"/>
          <w:b/>
        </w:rPr>
        <w:t>polysplénie</w:t>
      </w:r>
      <w:r>
        <w:rPr>
          <w:rFonts w:ascii="Times New Roman" w:hAnsi="Times New Roman"/>
          <w:b/>
        </w:rPr>
        <w:t xml:space="preserve"> +</w:t>
      </w:r>
      <w:r>
        <w:rPr>
          <w:rFonts w:ascii="Times New Roman" w:hAnsi="Times New Roman"/>
          <w:b/>
        </w:rPr>
        <w:t>+ (</w:t>
      </w:r>
      <w:r>
        <w:rPr>
          <w:rFonts w:ascii="Times New Roman" w:hAnsi="Times New Roman"/>
          <w:i/>
        </w:rPr>
        <w:t>Misy</w:t>
      </w:r>
      <w:r>
        <w:rPr>
          <w:rFonts w:ascii="Times New Roman" w:hAnsi="Times New Roman"/>
          <w:i/>
        </w:rPr>
        <w:t xml:space="preserve"> rates </w:t>
      </w:r>
      <w:r>
        <w:rPr>
          <w:rFonts w:ascii="Times New Roman" w:hAnsi="Times New Roman"/>
          <w:i/>
        </w:rPr>
        <w:t>kely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be</w:t>
      </w:r>
      <w:r>
        <w:rPr>
          <w:rFonts w:ascii="Times New Roman" w:hAnsi="Times New Roman"/>
          <w:i/>
        </w:rPr>
        <w:t xml:space="preserve"> dia </w:t>
      </w:r>
      <w:r>
        <w:rPr>
          <w:rFonts w:ascii="Times New Roman" w:hAnsi="Times New Roman"/>
          <w:i/>
        </w:rPr>
        <w:t>be</w:t>
      </w:r>
      <w:r>
        <w:rPr>
          <w:rFonts w:ascii="Times New Roman" w:hAnsi="Times New Roman"/>
          <w:i/>
        </w:rPr>
        <w:t xml:space="preserve">) </w:t>
      </w:r>
    </w:p>
    <w:p>
      <w:pPr>
        <w:numPr>
          <w:ilvl w:val="2"/>
          <w:numId w:val="2"/>
        </w:numPr>
      </w:pPr>
      <w:r>
        <w:rPr>
          <w:rFonts w:ascii="Times New Roman" w:hAnsi="Times New Roman"/>
          <w:i/>
        </w:rPr>
        <w:t>Malformations vasculaires (</w:t>
      </w:r>
      <w:r>
        <w:rPr>
          <w:rFonts w:ascii="Times New Roman" w:hAnsi="Times New Roman"/>
          <w:i/>
        </w:rPr>
        <w:t>veineuse...</w:t>
      </w:r>
      <w:r>
        <w:rPr>
          <w:rFonts w:ascii="Times New Roman" w:hAnsi="Times New Roman"/>
          <w:i/>
        </w:rPr>
        <w:t>), malformations cardiaques</w:t>
      </w:r>
    </w:p>
    <w:p>
      <w:pPr/>
    </w:p>
    <w:p>
      <w:pPr>
        <w:pStyle w:val="Heading2"/>
      </w:pPr>
      <w:r>
        <w:rPr/>
        <w:t>FORMES ANATOMIQUES</w:t>
      </w:r>
    </w:p>
    <w:p>
      <w:pPr>
        <w:numPr>
          <w:ilvl w:val="0"/>
          <w:numId w:val="3"/>
        </w:numPr>
      </w:pPr>
      <w:r>
        <w:rPr>
          <w:rFonts w:ascii="Times New Roman" w:hAnsi="Times New Roman"/>
          <w:b/>
        </w:rPr>
        <w:t>CLASSIFICATION</w:t>
      </w:r>
    </w:p>
    <w:p>
      <w:pPr>
        <w:numPr>
          <w:ilvl w:val="1"/>
          <w:numId w:val="3"/>
        </w:numPr>
      </w:pPr>
      <w:r>
        <w:rPr>
          <w:rFonts w:ascii="Times New Roman" w:hAnsi="Times New Roman"/>
        </w:rPr>
        <w:t xml:space="preserve">Selon les caractéristiques anatomiques du reliquat biliaire </w:t>
      </w:r>
      <w:r>
        <w:rPr>
          <w:rFonts w:ascii="Times New Roman" w:hAnsi="Times New Roman"/>
        </w:rPr>
        <w:t>extrahépatique</w:t>
      </w:r>
    </w:p>
    <w:p>
      <w:pPr>
        <w:numPr>
          <w:ilvl w:val="2"/>
          <w:numId w:val="3"/>
        </w:numPr>
      </w:pPr>
      <w:r>
        <w:rPr>
          <w:rFonts w:ascii="Times New Roman" w:hAnsi="Times New Roman"/>
          <w:b/>
        </w:rPr>
        <w:t>Type 1(3%) : atrésie limitée au cholédoque</w:t>
      </w:r>
      <w:r>
        <w:drawing>
          <wp:inline xmlns:a="http://schemas.openxmlformats.org/drawingml/2006/main" xmlns:pic="http://schemas.openxmlformats.org/drawingml/2006/picture">
            <wp:extent cx="50800000" cy="381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0" cy="38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3"/>
        </w:numPr>
      </w:pPr>
      <w:r>
        <w:rPr>
          <w:rFonts w:ascii="Times New Roman" w:hAnsi="Times New Roman"/>
          <w:b/>
        </w:rPr>
        <w:t>Type 2 (6%</w:t>
      </w:r>
      <w:r>
        <w:rPr>
          <w:rFonts w:ascii="Times New Roman" w:hAnsi="Times New Roman"/>
          <w:b/>
        </w:rPr>
        <w:t>) :</w:t>
      </w:r>
      <w:r>
        <w:rPr>
          <w:rFonts w:ascii="Times New Roman" w:hAnsi="Times New Roman"/>
          <w:b/>
        </w:rPr>
        <w:t xml:space="preserve"> kyste hilaire communiquant avec des voies biliaires intrahépatiques dystrophiques</w:t>
      </w:r>
      <w:r>
        <w:drawing>
          <wp:inline xmlns:a="http://schemas.openxmlformats.org/drawingml/2006/main" xmlns:pic="http://schemas.openxmlformats.org/drawingml/2006/picture">
            <wp:extent cx="50800000" cy="381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0" cy="38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3"/>
        </w:numPr>
      </w:pPr>
      <w:r>
        <w:rPr>
          <w:rFonts w:ascii="Times New Roman" w:hAnsi="Times New Roman"/>
          <w:b/>
        </w:rPr>
        <w:t>Type 3 (19%</w:t>
      </w:r>
      <w:r>
        <w:rPr>
          <w:rFonts w:ascii="Times New Roman" w:hAnsi="Times New Roman"/>
          <w:b/>
        </w:rPr>
        <w:t>):</w:t>
      </w:r>
      <w:r>
        <w:rPr>
          <w:rFonts w:ascii="Times New Roman" w:hAnsi="Times New Roman"/>
          <w:b/>
        </w:rPr>
        <w:t xml:space="preserve"> atrésie respectant la vésicule, le cystique et le cholédoque</w:t>
      </w:r>
    </w:p>
    <w:p>
      <w:pPr/>
      <w:r>
        <w:drawing>
          <wp:inline xmlns:a="http://schemas.openxmlformats.org/drawingml/2006/main" xmlns:pic="http://schemas.openxmlformats.org/drawingml/2006/picture">
            <wp:extent cx="50800000" cy="381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0" cy="38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3"/>
        </w:numPr>
      </w:pPr>
      <w:r>
        <w:rPr>
          <w:rFonts w:ascii="Times New Roman" w:hAnsi="Times New Roman"/>
          <w:b/>
        </w:rPr>
        <w:t>Type 4 (72%</w:t>
      </w:r>
      <w:r>
        <w:rPr>
          <w:rFonts w:ascii="Times New Roman" w:hAnsi="Times New Roman"/>
          <w:b/>
        </w:rPr>
        <w:t>):</w:t>
      </w:r>
      <w:r>
        <w:rPr>
          <w:rFonts w:ascii="Times New Roman" w:hAnsi="Times New Roman"/>
          <w:b/>
        </w:rPr>
        <w:t xml:space="preserve"> atrésie complète des voies biliaires intra et extra-hépatique</w:t>
      </w:r>
    </w:p>
    <w:p>
      <w:pPr/>
    </w:p>
    <w:p>
      <w:pPr>
        <w:pStyle w:val="Heading2"/>
      </w:pPr>
      <w:r>
        <w:rPr/>
        <w:t>DIAGNOSTIC POSITIF</w:t>
      </w:r>
    </w:p>
    <w:p>
      <w:pPr>
        <w:numPr>
          <w:ilvl w:val="0"/>
          <w:numId w:val="5"/>
        </w:numPr>
      </w:pPr>
      <w:r>
        <w:rPr>
          <w:rFonts w:ascii="Times New Roman" w:hAnsi="Times New Roman"/>
        </w:rPr>
        <w:t>TDD : Atrésie des voies biliaires en période néonatale</w:t>
      </w:r>
    </w:p>
    <w:p>
      <w:pPr>
        <w:numPr>
          <w:ilvl w:val="0"/>
          <w:numId w:val="5"/>
        </w:numPr>
      </w:pPr>
      <w:r>
        <w:rPr>
          <w:rFonts w:ascii="Times New Roman" w:hAnsi="Times New Roman"/>
        </w:rPr>
        <w:t>Triade clinique +++ QE</w:t>
      </w:r>
    </w:p>
    <w:p>
      <w:pPr>
        <w:numPr>
          <w:ilvl w:val="1"/>
          <w:numId w:val="5"/>
        </w:numPr>
      </w:pPr>
      <w:r>
        <w:rPr>
          <w:rFonts w:ascii="Times New Roman" w:hAnsi="Times New Roman"/>
          <w:b/>
        </w:rPr>
        <w:t xml:space="preserve">Ictère cutanéo-muqueux persistant </w:t>
      </w:r>
      <w:r>
        <w:rPr>
          <w:rFonts w:ascii="Times New Roman" w:hAnsi="Times New Roman"/>
          <w:b/>
        </w:rPr>
        <w:t>au-delà</w:t>
      </w:r>
      <w:r>
        <w:rPr>
          <w:rFonts w:ascii="Times New Roman" w:hAnsi="Times New Roman"/>
          <w:b/>
        </w:rPr>
        <w:t xml:space="preserve"> de 2 semaines</w:t>
      </w:r>
    </w:p>
    <w:p>
      <w:pPr>
        <w:numPr>
          <w:ilvl w:val="1"/>
          <w:numId w:val="5"/>
        </w:numPr>
      </w:pPr>
      <w:r>
        <w:rPr>
          <w:rFonts w:ascii="Times New Roman" w:hAnsi="Times New Roman"/>
          <w:b/>
        </w:rPr>
        <w:t>Selles décolorées (mastic), urines foncées</w:t>
      </w:r>
    </w:p>
    <w:p>
      <w:pPr>
        <w:numPr>
          <w:ilvl w:val="1"/>
          <w:numId w:val="5"/>
        </w:numPr>
      </w:pPr>
      <w:r>
        <w:rPr>
          <w:rFonts w:ascii="Times New Roman" w:hAnsi="Times New Roman"/>
          <w:b/>
        </w:rPr>
        <w:t xml:space="preserve">Hépatomégalie </w:t>
      </w:r>
      <w:r>
        <w:drawing>
          <wp:inline xmlns:a="http://schemas.openxmlformats.org/drawingml/2006/main" xmlns:pic="http://schemas.openxmlformats.org/drawingml/2006/picture">
            <wp:extent cx="50800000" cy="381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0" cy="38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Tardivement :</w:t>
      </w:r>
      <w:r>
        <w:rPr>
          <w:rFonts w:ascii="Times New Roman" w:hAnsi="Times New Roman"/>
        </w:rPr>
        <w:t xml:space="preserve"> signes de </w:t>
      </w:r>
      <w:r>
        <w:rPr>
          <w:rFonts w:ascii="Times New Roman" w:hAnsi="Times New Roman"/>
        </w:rPr>
        <w:t>cirrhose (</w:t>
      </w:r>
      <w:r>
        <w:rPr>
          <w:rFonts w:ascii="Times New Roman" w:hAnsi="Times New Roman"/>
        </w:rPr>
        <w:t>foie dur à bord tranchant, splénomégalie, signes d'HTP</w:t>
      </w:r>
    </w:p>
    <w:p>
      <w:pPr>
        <w:numPr>
          <w:ilvl w:val="0"/>
          <w:numId w:val="5"/>
        </w:numPr>
      </w:pPr>
      <w:r>
        <w:rPr>
          <w:rFonts w:ascii="Times New Roman" w:hAnsi="Times New Roman"/>
          <w:b/>
        </w:rPr>
        <w:t>Echographie abdominale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Examen clé, faite après 12h de jeun pour avoir un bon remplissage de la vésicule biliaire, enfant perfusé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 xml:space="preserve">Pas de dilatation des voies biliaires ou vésicule biliaire non visible (80%) </w:t>
      </w:r>
    </w:p>
    <w:p>
      <w:pPr>
        <w:numPr>
          <w:ilvl w:val="2"/>
          <w:numId w:val="5"/>
        </w:numPr>
      </w:pPr>
      <w:r>
        <w:rPr>
          <w:rFonts w:ascii="Times New Roman" w:hAnsi="Times New Roman"/>
        </w:rPr>
        <w:t>Ou</w:t>
      </w:r>
      <w:r>
        <w:rPr>
          <w:rFonts w:ascii="Times New Roman" w:hAnsi="Times New Roman"/>
        </w:rPr>
        <w:t xml:space="preserve"> kyste hilaire </w:t>
      </w:r>
    </w:p>
    <w:p>
      <w:pPr>
        <w:numPr>
          <w:ilvl w:val="2"/>
          <w:numId w:val="5"/>
        </w:numPr>
      </w:pPr>
      <w:r>
        <w:rPr>
          <w:rFonts w:ascii="Times New Roman" w:hAnsi="Times New Roman"/>
        </w:rPr>
        <w:t>Ou</w:t>
      </w:r>
      <w:r>
        <w:rPr>
          <w:rFonts w:ascii="Times New Roman" w:hAnsi="Times New Roman"/>
        </w:rPr>
        <w:t xml:space="preserve"> Syndrome de </w:t>
      </w:r>
      <w:r>
        <w:rPr>
          <w:rFonts w:ascii="Times New Roman" w:hAnsi="Times New Roman"/>
        </w:rPr>
        <w:t>polysplénie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(rate multiple, absence de VCI </w:t>
      </w:r>
      <w:r>
        <w:rPr>
          <w:rFonts w:ascii="Times New Roman" w:hAnsi="Times New Roman"/>
        </w:rPr>
        <w:t>retro hépatique</w:t>
      </w:r>
      <w:r>
        <w:rPr>
          <w:rFonts w:ascii="Times New Roman" w:hAnsi="Times New Roman"/>
        </w:rPr>
        <w:t xml:space="preserve"> et de la veine porte </w:t>
      </w:r>
      <w:r>
        <w:rPr>
          <w:rFonts w:ascii="Times New Roman" w:hAnsi="Times New Roman"/>
        </w:rPr>
        <w:t>pré duodénale</w:t>
      </w:r>
      <w:r>
        <w:rPr>
          <w:rFonts w:ascii="Times New Roman" w:hAnsi="Times New Roman"/>
        </w:rPr>
        <w:t xml:space="preserve">) </w:t>
      </w:r>
    </w:p>
    <w:p>
      <w:pPr>
        <w:numPr>
          <w:ilvl w:val="1"/>
          <w:numId w:val="5"/>
        </w:numPr>
      </w:pPr>
      <w:r>
        <w:rPr>
          <w:rFonts w:ascii="Times New Roman" w:hAnsi="Times New Roman"/>
          <w:i/>
        </w:rPr>
        <w:t>Une échographie normale n'élimine pas une atrésie des voies biliaires</w:t>
      </w:r>
    </w:p>
    <w:p>
      <w:pPr>
        <w:numPr>
          <w:ilvl w:val="0"/>
          <w:numId w:val="5"/>
        </w:numPr>
      </w:pPr>
      <w:r>
        <w:rPr>
          <w:rFonts w:ascii="Times New Roman" w:hAnsi="Times New Roman"/>
          <w:b/>
        </w:rPr>
        <w:t>Cholangiographie et biopsie hépatique :</w:t>
      </w:r>
      <w:r>
        <w:rPr>
          <w:rFonts w:ascii="Times New Roman" w:hAnsi="Times New Roman"/>
          <w:b/>
          <w:i/>
        </w:rPr>
        <w:t xml:space="preserve"> si examen clinique non concluante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 xml:space="preserve">Indication : AVB incertain, premier temps de l'intervention de </w:t>
      </w:r>
      <w:r>
        <w:rPr>
          <w:rFonts w:ascii="Times New Roman" w:hAnsi="Times New Roman"/>
        </w:rPr>
        <w:t>Kasai</w:t>
      </w:r>
      <w:r>
        <w:rPr>
          <w:rFonts w:ascii="Times New Roman" w:hAnsi="Times New Roman"/>
        </w:rPr>
        <w:t xml:space="preserve"> si possible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Cholangiographie :</w:t>
      </w:r>
      <w:r>
        <w:rPr>
          <w:rFonts w:ascii="Times New Roman" w:hAnsi="Times New Roman"/>
        </w:rPr>
        <w:t xml:space="preserve"> la visualisation de tout l'arbre biliaire élimine le diagnostic</w:t>
      </w:r>
    </w:p>
    <w:p>
      <w:pPr>
        <w:numPr>
          <w:ilvl w:val="0"/>
          <w:numId w:val="5"/>
        </w:numPr>
      </w:pPr>
      <w:r>
        <w:rPr>
          <w:rFonts w:ascii="Times New Roman" w:hAnsi="Times New Roman"/>
          <w:b/>
        </w:rPr>
        <w:t xml:space="preserve">Biologie 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Syndrome de cholestase hépatique et de cytolyse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 xml:space="preserve">Hyperbilirubinémie conjuguée, augmentation des phosphatases alcalines, transaminase et </w:t>
      </w:r>
      <w:r>
        <w:rPr>
          <w:rFonts w:ascii="Times New Roman" w:hAnsi="Times New Roman"/>
        </w:rPr>
        <w:t>gGT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Hypovitaminose K (baisse des cofacteurs de la coagulation II et VII + X</w:t>
      </w:r>
      <w:r>
        <w:rPr>
          <w:rFonts w:ascii="Times New Roman" w:hAnsi="Times New Roman"/>
        </w:rPr>
        <w:t>) vit</w:t>
      </w:r>
      <w:r>
        <w:rPr>
          <w:rFonts w:ascii="Times New Roman" w:hAnsi="Times New Roman"/>
          <w:i/>
        </w:rPr>
        <w:t xml:space="preserve"> K liposoluble, </w:t>
      </w:r>
      <w:r>
        <w:rPr>
          <w:rFonts w:ascii="Times New Roman" w:hAnsi="Times New Roman"/>
          <w:i/>
        </w:rPr>
        <w:t>tsisy</w:t>
      </w:r>
      <w:r>
        <w:rPr>
          <w:rFonts w:ascii="Times New Roman" w:hAnsi="Times New Roman"/>
          <w:i/>
        </w:rPr>
        <w:t xml:space="preserve"> bile du coup </w:t>
      </w:r>
      <w:r>
        <w:rPr>
          <w:rFonts w:ascii="Times New Roman" w:hAnsi="Times New Roman"/>
          <w:i/>
        </w:rPr>
        <w:t>tsy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tafiditra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ilay</w:t>
      </w:r>
      <w:r>
        <w:rPr>
          <w:rFonts w:ascii="Times New Roman" w:hAnsi="Times New Roman"/>
          <w:i/>
        </w:rPr>
        <w:t xml:space="preserve"> Vit K d'où sd hémorragique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Tardivement : insuffisance hépatique</w:t>
      </w:r>
    </w:p>
    <w:p>
      <w:pPr>
        <w:numPr>
          <w:ilvl w:val="0"/>
          <w:numId w:val="5"/>
        </w:numPr>
      </w:pPr>
      <w:r>
        <w:rPr>
          <w:rFonts w:ascii="Times New Roman" w:hAnsi="Times New Roman"/>
          <w:b/>
        </w:rPr>
        <w:t>Formes cliniques</w:t>
      </w:r>
    </w:p>
    <w:p>
      <w:pPr>
        <w:numPr>
          <w:ilvl w:val="1"/>
          <w:numId w:val="5"/>
        </w:numPr>
      </w:pPr>
      <w:r>
        <w:rPr>
          <w:rFonts w:ascii="Times New Roman" w:hAnsi="Times New Roman"/>
          <w:b/>
        </w:rPr>
        <w:t>Anténatale :</w:t>
      </w:r>
    </w:p>
    <w:p>
      <w:pPr>
        <w:numPr>
          <w:ilvl w:val="2"/>
          <w:numId w:val="5"/>
        </w:numPr>
      </w:pPr>
      <w:r>
        <w:rPr>
          <w:rFonts w:ascii="Times New Roman" w:hAnsi="Times New Roman"/>
        </w:rPr>
        <w:t>Rarement évoqué en anténatal</w:t>
      </w:r>
    </w:p>
    <w:p>
      <w:pPr>
        <w:numPr>
          <w:ilvl w:val="2"/>
          <w:numId w:val="5"/>
        </w:numPr>
      </w:pPr>
      <w:r>
        <w:rPr>
          <w:rFonts w:ascii="Times New Roman" w:hAnsi="Times New Roman"/>
        </w:rPr>
        <w:t xml:space="preserve">Echographie : parfois kyste hilaire, </w:t>
      </w:r>
      <w:r>
        <w:rPr>
          <w:rFonts w:ascii="Times New Roman" w:hAnsi="Times New Roman"/>
        </w:rPr>
        <w:t>polysplénie</w:t>
      </w:r>
      <w:r>
        <w:rPr>
          <w:rFonts w:ascii="Times New Roman" w:hAnsi="Times New Roman"/>
        </w:rPr>
        <w:t>, absence de visualisation de vésicule biliaire à 10SA</w:t>
      </w:r>
    </w:p>
    <w:p>
      <w:pPr>
        <w:numPr>
          <w:ilvl w:val="2"/>
          <w:numId w:val="5"/>
        </w:numPr>
      </w:pPr>
      <w:r>
        <w:rPr>
          <w:rFonts w:ascii="Times New Roman" w:hAnsi="Times New Roman"/>
        </w:rPr>
        <w:t>Organisation d'une consultation spécialisée à deux semaines de vie</w:t>
      </w:r>
    </w:p>
    <w:p>
      <w:pPr>
        <w:numPr>
          <w:ilvl w:val="1"/>
          <w:numId w:val="5"/>
        </w:numPr>
      </w:pPr>
      <w:r>
        <w:rPr>
          <w:rFonts w:ascii="Times New Roman" w:hAnsi="Times New Roman"/>
          <w:b/>
        </w:rPr>
        <w:t>AVB syndromique</w:t>
      </w:r>
    </w:p>
    <w:p>
      <w:pPr>
        <w:numPr>
          <w:ilvl w:val="2"/>
          <w:numId w:val="5"/>
        </w:numPr>
      </w:pPr>
      <w:r>
        <w:rPr>
          <w:rFonts w:ascii="Times New Roman" w:hAnsi="Times New Roman"/>
        </w:rPr>
        <w:t xml:space="preserve">Syndrome de </w:t>
      </w:r>
      <w:r>
        <w:rPr>
          <w:rFonts w:ascii="Times New Roman" w:hAnsi="Times New Roman"/>
        </w:rPr>
        <w:t>polysplénie</w:t>
      </w:r>
      <w:r>
        <w:rPr>
          <w:rFonts w:ascii="Times New Roman" w:hAnsi="Times New Roman"/>
        </w:rPr>
        <w:t xml:space="preserve"> : prédominance</w:t>
      </w:r>
      <w:r>
        <w:rPr>
          <w:rFonts w:ascii="Times New Roman" w:hAnsi="Times New Roman"/>
        </w:rPr>
        <w:t xml:space="preserve"> féminine</w:t>
      </w:r>
    </w:p>
    <w:p>
      <w:pPr>
        <w:numPr>
          <w:ilvl w:val="3"/>
          <w:numId w:val="5"/>
        </w:numPr>
      </w:pPr>
      <w:r>
        <w:rPr>
          <w:rFonts w:ascii="Times New Roman" w:hAnsi="Times New Roman"/>
        </w:rPr>
        <w:t>Polysplénie</w:t>
      </w:r>
      <w:r>
        <w:rPr>
          <w:rFonts w:ascii="Times New Roman" w:hAnsi="Times New Roman"/>
        </w:rPr>
        <w:t xml:space="preserve"> (rarement </w:t>
      </w:r>
      <w:r>
        <w:rPr>
          <w:rFonts w:ascii="Times New Roman" w:hAnsi="Times New Roman"/>
        </w:rPr>
        <w:t>asplénie</w:t>
      </w:r>
      <w:r>
        <w:rPr>
          <w:rFonts w:ascii="Times New Roman" w:hAnsi="Times New Roman"/>
        </w:rPr>
        <w:t xml:space="preserve">) </w:t>
      </w:r>
    </w:p>
    <w:p>
      <w:pPr>
        <w:numPr>
          <w:ilvl w:val="3"/>
          <w:numId w:val="5"/>
        </w:numPr>
      </w:pPr>
      <w:r>
        <w:rPr>
          <w:rFonts w:ascii="Times New Roman" w:hAnsi="Times New Roman"/>
        </w:rPr>
        <w:t xml:space="preserve">Hétérotaxie (foie médian, </w:t>
      </w:r>
      <w:r>
        <w:rPr>
          <w:rFonts w:ascii="Times New Roman" w:hAnsi="Times New Roman"/>
        </w:rPr>
        <w:t>situs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inversus</w:t>
      </w:r>
      <w:r>
        <w:rPr>
          <w:rFonts w:ascii="Times New Roman" w:hAnsi="Times New Roman"/>
        </w:rPr>
        <w:t xml:space="preserve"> avec malrotation intestinale) </w:t>
      </w:r>
    </w:p>
    <w:p>
      <w:pPr>
        <w:numPr>
          <w:ilvl w:val="3"/>
          <w:numId w:val="5"/>
        </w:numPr>
      </w:pPr>
      <w:r>
        <w:rPr>
          <w:rFonts w:ascii="Times New Roman" w:hAnsi="Times New Roman"/>
        </w:rPr>
        <w:t>Malformation veineuse</w:t>
      </w:r>
    </w:p>
    <w:p>
      <w:pPr>
        <w:numPr>
          <w:ilvl w:val="3"/>
          <w:numId w:val="5"/>
        </w:numPr>
      </w:pPr>
      <w:r>
        <w:rPr>
          <w:rFonts w:ascii="Times New Roman" w:hAnsi="Times New Roman"/>
        </w:rPr>
        <w:t xml:space="preserve">Cardiopathie (Tétralogie de Fallot, sténose de l'artère pulmonaire) </w:t>
      </w:r>
    </w:p>
    <w:p>
      <w:pPr/>
    </w:p>
    <w:p>
      <w:pPr>
        <w:pStyle w:val="Heading2"/>
      </w:pPr>
      <w:r>
        <w:rPr/>
        <w:t>DIAGNOSTIC DIFFERENTIEL</w:t>
      </w:r>
    </w:p>
    <w:p>
      <w:pPr>
        <w:numPr>
          <w:ilvl w:val="0"/>
          <w:numId w:val="6"/>
        </w:numPr>
      </w:pPr>
      <w:r>
        <w:rPr>
          <w:rFonts w:ascii="Times New Roman" w:hAnsi="Times New Roman"/>
        </w:rPr>
        <w:t xml:space="preserve">Autres causes de cholestase </w:t>
      </w:r>
      <w:r>
        <w:rPr>
          <w:rFonts w:ascii="Times New Roman" w:hAnsi="Times New Roman"/>
        </w:rPr>
        <w:t>complète :</w:t>
      </w:r>
    </w:p>
    <w:p>
      <w:pPr>
        <w:numPr>
          <w:ilvl w:val="1"/>
          <w:numId w:val="6"/>
        </w:numPr>
      </w:pPr>
      <w:r>
        <w:rPr>
          <w:rFonts w:ascii="Times New Roman" w:hAnsi="Times New Roman"/>
        </w:rPr>
        <w:t>Syndrome d'</w:t>
      </w:r>
      <w:r>
        <w:rPr>
          <w:rFonts w:ascii="Times New Roman" w:hAnsi="Times New Roman"/>
        </w:rPr>
        <w:t>Alagille</w:t>
      </w:r>
      <w:r>
        <w:rPr>
          <w:rFonts w:ascii="Times New Roman" w:hAnsi="Times New Roman"/>
        </w:rPr>
        <w:t xml:space="preserve">, </w:t>
      </w:r>
    </w:p>
    <w:p>
      <w:pPr>
        <w:numPr>
          <w:ilvl w:val="1"/>
          <w:numId w:val="6"/>
        </w:numPr>
      </w:pPr>
      <w:r>
        <w:rPr>
          <w:rFonts w:ascii="Times New Roman" w:hAnsi="Times New Roman"/>
        </w:rPr>
        <w:t xml:space="preserve">Déficit en alpha-1-antitrypsine, </w:t>
      </w:r>
    </w:p>
    <w:p>
      <w:pPr>
        <w:numPr>
          <w:ilvl w:val="1"/>
          <w:numId w:val="6"/>
        </w:numPr>
      </w:pPr>
      <w:r>
        <w:rPr>
          <w:rFonts w:ascii="Times New Roman" w:hAnsi="Times New Roman"/>
        </w:rPr>
        <w:t xml:space="preserve">Mucoviscidose, </w:t>
      </w:r>
    </w:p>
    <w:p>
      <w:pPr>
        <w:numPr>
          <w:ilvl w:val="1"/>
          <w:numId w:val="6"/>
        </w:numPr>
      </w:pPr>
      <w:r>
        <w:rPr>
          <w:rFonts w:ascii="Times New Roman" w:hAnsi="Times New Roman"/>
        </w:rPr>
        <w:t>Lithiase de la voie biliaire principale</w:t>
      </w:r>
    </w:p>
    <w:p>
      <w:pPr>
        <w:numPr>
          <w:ilvl w:val="1"/>
          <w:numId w:val="6"/>
        </w:numPr>
      </w:pPr>
      <w:r>
        <w:rPr>
          <w:rFonts w:ascii="Times New Roman" w:hAnsi="Times New Roman"/>
        </w:rPr>
        <w:t>Sténose congénitale, exceptionnelles</w:t>
      </w:r>
    </w:p>
    <w:p>
      <w:pPr/>
    </w:p>
    <w:p>
      <w:pPr>
        <w:pStyle w:val="Heading2"/>
      </w:pPr>
      <w:r>
        <w:rPr/>
        <w:t>TRAITEMENT</w:t>
      </w:r>
    </w:p>
    <w:p>
      <w:pPr>
        <w:numPr>
          <w:ilvl w:val="0"/>
          <w:numId w:val="7"/>
        </w:numPr>
      </w:pPr>
      <w:r>
        <w:rPr>
          <w:rFonts w:ascii="Times New Roman" w:hAnsi="Times New Roman"/>
        </w:rPr>
        <w:t>BUT</w:t>
      </w:r>
    </w:p>
    <w:p>
      <w:pPr>
        <w:numPr>
          <w:ilvl w:val="1"/>
          <w:numId w:val="7"/>
        </w:numPr>
      </w:pPr>
      <w:r>
        <w:rPr>
          <w:rFonts w:ascii="Times New Roman" w:hAnsi="Times New Roman"/>
        </w:rPr>
        <w:t>Restaurer un flux biliaire normal vers l'intestin</w:t>
      </w:r>
    </w:p>
    <w:p>
      <w:pPr>
        <w:numPr>
          <w:ilvl w:val="0"/>
          <w:numId w:val="7"/>
        </w:numPr>
      </w:pPr>
      <w:r>
        <w:rPr>
          <w:rFonts w:ascii="Times New Roman" w:hAnsi="Times New Roman"/>
        </w:rPr>
        <w:t>MOYENS</w:t>
      </w:r>
    </w:p>
    <w:p>
      <w:pPr>
        <w:numPr>
          <w:ilvl w:val="1"/>
          <w:numId w:val="7"/>
        </w:numPr>
      </w:pPr>
      <w:r>
        <w:rPr>
          <w:rFonts w:ascii="Times New Roman" w:hAnsi="Times New Roman"/>
        </w:rPr>
        <w:t>Chirurgicaux</w:t>
      </w:r>
    </w:p>
    <w:p>
      <w:pPr>
        <w:numPr>
          <w:ilvl w:val="2"/>
          <w:numId w:val="7"/>
        </w:numPr>
      </w:pPr>
      <w:r>
        <w:rPr>
          <w:rFonts w:ascii="Times New Roman" w:hAnsi="Times New Roman"/>
          <w:b/>
        </w:rPr>
        <w:t xml:space="preserve">Intervention de </w:t>
      </w:r>
      <w:r>
        <w:rPr>
          <w:rFonts w:ascii="Times New Roman" w:hAnsi="Times New Roman"/>
          <w:b/>
        </w:rPr>
        <w:t>Kasai</w:t>
      </w:r>
    </w:p>
    <w:p>
      <w:pPr>
        <w:numPr>
          <w:ilvl w:val="3"/>
          <w:numId w:val="7"/>
        </w:numPr>
      </w:pPr>
      <w:r>
        <w:rPr>
          <w:rFonts w:ascii="Times New Roman" w:hAnsi="Times New Roman"/>
        </w:rPr>
        <w:t>Hépato-porto-entérostomie</w:t>
      </w:r>
    </w:p>
    <w:p>
      <w:pPr>
        <w:numPr>
          <w:ilvl w:val="3"/>
          <w:numId w:val="7"/>
        </w:numPr>
      </w:pPr>
      <w:r>
        <w:rPr>
          <w:rFonts w:ascii="Times New Roman" w:hAnsi="Times New Roman"/>
        </w:rPr>
        <w:t xml:space="preserve">Dérivation </w:t>
      </w:r>
      <w:r>
        <w:rPr>
          <w:rFonts w:ascii="Times New Roman" w:hAnsi="Times New Roman"/>
        </w:rPr>
        <w:t>bilio</w:t>
      </w:r>
      <w:r>
        <w:rPr>
          <w:rFonts w:ascii="Times New Roman" w:hAnsi="Times New Roman"/>
        </w:rPr>
        <w:t>-digestive, anastomose entre le hile hépatique et la première anse jéjunale en Y après exérèse de reliquat biliaire</w:t>
      </w:r>
    </w:p>
    <w:p>
      <w:pPr>
        <w:numPr>
          <w:ilvl w:val="3"/>
          <w:numId w:val="7"/>
        </w:numPr>
      </w:pPr>
      <w:r>
        <w:rPr>
          <w:rFonts w:ascii="Times New Roman" w:hAnsi="Times New Roman"/>
        </w:rPr>
        <w:t xml:space="preserve">Idéale avant 1 mois de vie </w:t>
      </w:r>
      <w:r>
        <w:rPr>
          <w:rFonts w:ascii="Times New Roman" w:hAnsi="Times New Roman"/>
          <w:i/>
        </w:rPr>
        <w:t>à cause de la cytolyse hépatique conduisant à un mauvais résultat, le foie étant détruit</w:t>
      </w:r>
    </w:p>
    <w:p>
      <w:pPr>
        <w:numPr>
          <w:ilvl w:val="2"/>
          <w:numId w:val="7"/>
        </w:numPr>
      </w:pPr>
      <w:r>
        <w:rPr>
          <w:rFonts w:ascii="Times New Roman" w:hAnsi="Times New Roman"/>
        </w:rPr>
        <w:t>Succès :</w:t>
      </w:r>
      <w:r>
        <w:rPr>
          <w:rFonts w:ascii="Times New Roman" w:hAnsi="Times New Roman"/>
        </w:rPr>
        <w:t xml:space="preserve"> </w:t>
      </w:r>
    </w:p>
    <w:p>
      <w:pPr>
        <w:numPr>
          <w:ilvl w:val="3"/>
          <w:numId w:val="7"/>
        </w:numPr>
      </w:pPr>
      <w:r>
        <w:rPr>
          <w:rFonts w:ascii="Times New Roman" w:hAnsi="Times New Roman"/>
        </w:rPr>
        <w:t>Régression</w:t>
      </w:r>
      <w:r>
        <w:rPr>
          <w:rFonts w:ascii="Times New Roman" w:hAnsi="Times New Roman"/>
        </w:rPr>
        <w:t xml:space="preserve"> de l'ictère et recoloration des selles en plusieurs semaines ou mois</w:t>
      </w:r>
    </w:p>
    <w:p>
      <w:pPr>
        <w:numPr>
          <w:ilvl w:val="3"/>
          <w:numId w:val="7"/>
        </w:numPr>
      </w:pPr>
      <w:r>
        <w:rPr>
          <w:rFonts w:ascii="Times New Roman" w:hAnsi="Times New Roman"/>
        </w:rPr>
        <w:t>L'évolution stoppée ou ralentie de la cirrhose biliaire</w:t>
      </w:r>
    </w:p>
    <w:p>
      <w:pPr>
        <w:numPr>
          <w:ilvl w:val="2"/>
          <w:numId w:val="7"/>
        </w:numPr>
      </w:pPr>
      <w:r>
        <w:rPr>
          <w:rFonts w:ascii="Times New Roman" w:hAnsi="Times New Roman"/>
        </w:rPr>
        <w:t>Complications :</w:t>
      </w:r>
    </w:p>
    <w:p>
      <w:pPr>
        <w:numPr>
          <w:ilvl w:val="3"/>
          <w:numId w:val="7"/>
        </w:numPr>
      </w:pPr>
      <w:r>
        <w:rPr>
          <w:rFonts w:ascii="Times New Roman" w:hAnsi="Times New Roman"/>
        </w:rPr>
        <w:t xml:space="preserve">Cholangites (ascendant ou récidivant) </w:t>
      </w:r>
    </w:p>
    <w:p>
      <w:pPr>
        <w:numPr>
          <w:ilvl w:val="3"/>
          <w:numId w:val="7"/>
        </w:numPr>
      </w:pPr>
      <w:r>
        <w:rPr>
          <w:rFonts w:ascii="Times New Roman" w:hAnsi="Times New Roman"/>
        </w:rPr>
        <w:t xml:space="preserve">Syndrome d'HTP (intervention trop </w:t>
      </w:r>
      <w:r>
        <w:rPr>
          <w:rFonts w:ascii="Times New Roman" w:hAnsi="Times New Roman"/>
        </w:rPr>
        <w:t>tardive :</w:t>
      </w:r>
      <w:r>
        <w:rPr>
          <w:rFonts w:ascii="Times New Roman" w:hAnsi="Times New Roman"/>
        </w:rPr>
        <w:t xml:space="preserve"> cirrhose installée) </w:t>
      </w:r>
    </w:p>
    <w:p>
      <w:pPr>
        <w:numPr>
          <w:ilvl w:val="3"/>
          <w:numId w:val="7"/>
        </w:numPr>
      </w:pPr>
      <w:r>
        <w:rPr>
          <w:rFonts w:ascii="Times New Roman" w:hAnsi="Times New Roman"/>
        </w:rPr>
        <w:t xml:space="preserve">Syndrome </w:t>
      </w:r>
      <w:r>
        <w:rPr>
          <w:rFonts w:ascii="Times New Roman" w:hAnsi="Times New Roman"/>
        </w:rPr>
        <w:t>hépato pulmonaire</w:t>
      </w:r>
    </w:p>
    <w:p>
      <w:pPr>
        <w:numPr>
          <w:ilvl w:val="3"/>
          <w:numId w:val="7"/>
        </w:numPr>
      </w:pPr>
      <w:r>
        <w:rPr>
          <w:rFonts w:ascii="Times New Roman" w:hAnsi="Times New Roman"/>
        </w:rPr>
        <w:t>Cavités biliaires intrahépatiques ("</w:t>
      </w:r>
      <w:r>
        <w:rPr>
          <w:rFonts w:ascii="Times New Roman" w:hAnsi="Times New Roman"/>
        </w:rPr>
        <w:t>bilomes</w:t>
      </w:r>
      <w:r>
        <w:rPr>
          <w:rFonts w:ascii="Times New Roman" w:hAnsi="Times New Roman"/>
        </w:rPr>
        <w:t xml:space="preserve">") : après l'intervention de </w:t>
      </w:r>
      <w:r>
        <w:rPr>
          <w:rFonts w:ascii="Times New Roman" w:hAnsi="Times New Roman"/>
        </w:rPr>
        <w:t>Kasai</w:t>
      </w:r>
      <w:r>
        <w:rPr>
          <w:rFonts w:ascii="Times New Roman" w:hAnsi="Times New Roman"/>
        </w:rPr>
        <w:t>, surinfection de la cavité ou compression de la veine porte</w:t>
      </w:r>
    </w:p>
    <w:p>
      <w:pPr>
        <w:numPr>
          <w:ilvl w:val="3"/>
          <w:numId w:val="7"/>
        </w:numPr>
      </w:pPr>
      <w:r>
        <w:rPr>
          <w:rFonts w:ascii="Times New Roman" w:hAnsi="Times New Roman"/>
        </w:rPr>
        <w:t>Hépatocarcinome, hépatoblastome, et cholangiocarcinome</w:t>
      </w:r>
    </w:p>
    <w:p>
      <w:pPr>
        <w:numPr>
          <w:ilvl w:val="2"/>
          <w:numId w:val="7"/>
        </w:numPr>
      </w:pPr>
      <w:r>
        <w:rPr>
          <w:rFonts w:ascii="Times New Roman" w:hAnsi="Times New Roman"/>
          <w:b/>
        </w:rPr>
        <w:t>Transplantation hépatique</w:t>
      </w:r>
    </w:p>
    <w:p>
      <w:pPr>
        <w:numPr>
          <w:ilvl w:val="3"/>
          <w:numId w:val="7"/>
        </w:numPr>
      </w:pPr>
      <w:r>
        <w:rPr>
          <w:rFonts w:ascii="Times New Roman" w:hAnsi="Times New Roman"/>
        </w:rPr>
        <w:t>Première indication de transplantation hépatique chez l'enfant</w:t>
      </w:r>
    </w:p>
    <w:p>
      <w:pPr>
        <w:numPr>
          <w:ilvl w:val="3"/>
          <w:numId w:val="7"/>
        </w:numPr>
      </w:pPr>
      <w:r>
        <w:rPr>
          <w:rFonts w:ascii="Times New Roman" w:hAnsi="Times New Roman"/>
        </w:rPr>
        <w:t xml:space="preserve">Echec de l'intervention de </w:t>
      </w:r>
      <w:r>
        <w:rPr>
          <w:rFonts w:ascii="Times New Roman" w:hAnsi="Times New Roman"/>
        </w:rPr>
        <w:t>Kasai</w:t>
      </w:r>
    </w:p>
    <w:p>
      <w:pPr>
        <w:numPr>
          <w:ilvl w:val="3"/>
          <w:numId w:val="7"/>
        </w:numPr>
      </w:pPr>
      <w:r>
        <w:rPr>
          <w:rFonts w:ascii="Times New Roman" w:hAnsi="Times New Roman"/>
        </w:rPr>
        <w:t xml:space="preserve">Développement de cirrhose, HTP, même après succès de </w:t>
      </w:r>
      <w:r>
        <w:rPr>
          <w:rFonts w:ascii="Times New Roman" w:hAnsi="Times New Roman"/>
        </w:rPr>
        <w:t>Kasai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i/>
        </w:rPr>
        <w:t xml:space="preserve">cirrhose) </w:t>
      </w:r>
    </w:p>
    <w:p>
      <w:pPr>
        <w:numPr>
          <w:ilvl w:val="1"/>
          <w:numId w:val="7"/>
        </w:numPr>
      </w:pPr>
      <w:r>
        <w:rPr>
          <w:rFonts w:ascii="Times New Roman" w:hAnsi="Times New Roman"/>
        </w:rPr>
        <w:t>Moyens médicaux</w:t>
      </w:r>
    </w:p>
    <w:p>
      <w:pPr>
        <w:numPr>
          <w:ilvl w:val="2"/>
          <w:numId w:val="7"/>
        </w:numPr>
      </w:pPr>
      <w:r>
        <w:rPr>
          <w:rFonts w:ascii="Times New Roman" w:hAnsi="Times New Roman"/>
        </w:rPr>
        <w:t xml:space="preserve">Préparation pour </w:t>
      </w:r>
      <w:r>
        <w:rPr>
          <w:rFonts w:ascii="Times New Roman" w:hAnsi="Times New Roman"/>
        </w:rPr>
        <w:t>l’intervention :</w:t>
      </w:r>
      <w:r>
        <w:rPr>
          <w:rFonts w:ascii="Times New Roman" w:hAnsi="Times New Roman"/>
        </w:rPr>
        <w:t xml:space="preserve"> supplémentation protidique, </w:t>
      </w:r>
      <w:r>
        <w:rPr>
          <w:rFonts w:ascii="Times New Roman" w:hAnsi="Times New Roman"/>
        </w:rPr>
        <w:t>etc</w:t>
      </w:r>
    </w:p>
    <w:p>
      <w:pPr>
        <w:numPr>
          <w:ilvl w:val="2"/>
          <w:numId w:val="7"/>
        </w:numPr>
      </w:pPr>
      <w:r>
        <w:rPr>
          <w:rFonts w:ascii="Times New Roman" w:hAnsi="Times New Roman"/>
        </w:rPr>
        <w:t>Traitement symptomatique, nutritionnel et vitaminique, de la cholestase</w:t>
      </w:r>
    </w:p>
    <w:p>
      <w:pPr>
        <w:numPr>
          <w:ilvl w:val="2"/>
          <w:numId w:val="7"/>
        </w:numPr>
      </w:pPr>
      <w:r>
        <w:rPr>
          <w:rFonts w:ascii="Times New Roman" w:hAnsi="Times New Roman"/>
        </w:rPr>
        <w:t>Vaccination contre les virus de l'hépatite A et B</w:t>
      </w:r>
    </w:p>
    <w:p>
      <w:pPr/>
    </w:p>
    <w:p>
      <w:pPr>
        <w:pStyle w:val="Heading2"/>
      </w:pPr>
      <w:r>
        <w:rPr/>
        <w:t>PRONOSTIC</w:t>
      </w:r>
    </w:p>
    <w:p>
      <w:pPr>
        <w:numPr>
          <w:ilvl w:val="0"/>
          <w:numId w:val="8"/>
        </w:numPr>
      </w:pPr>
      <w:r>
        <w:rPr>
          <w:rFonts w:ascii="Times New Roman" w:hAnsi="Times New Roman"/>
        </w:rPr>
        <w:t>Survie avec le foie natif</w:t>
      </w:r>
    </w:p>
    <w:p>
      <w:pPr>
        <w:numPr>
          <w:ilvl w:val="1"/>
          <w:numId w:val="8"/>
        </w:numPr>
      </w:pPr>
      <w:r>
        <w:rPr>
          <w:rFonts w:ascii="Times New Roman" w:hAnsi="Times New Roman"/>
        </w:rPr>
        <w:t>32% à 5 ans</w:t>
      </w:r>
    </w:p>
    <w:p>
      <w:pPr>
        <w:numPr>
          <w:ilvl w:val="1"/>
          <w:numId w:val="8"/>
        </w:numPr>
      </w:pPr>
      <w:r>
        <w:rPr>
          <w:rFonts w:ascii="Times New Roman" w:hAnsi="Times New Roman"/>
        </w:rPr>
        <w:t>27% à 10 ans</w:t>
      </w:r>
    </w:p>
    <w:p>
      <w:pPr>
        <w:numPr>
          <w:ilvl w:val="0"/>
          <w:numId w:val="8"/>
        </w:numPr>
      </w:pPr>
      <w:r>
        <w:rPr>
          <w:rFonts w:ascii="Times New Roman" w:hAnsi="Times New Roman"/>
        </w:rPr>
        <w:t>En fonction du diagnostic précoce, du type anatomique, l'intervention précoce et de l'expérience du centre</w:t>
      </w:r>
    </w:p>
    <w:p>
      <w:pPr>
        <w:numPr>
          <w:ilvl w:val="0"/>
          <w:numId w:val="8"/>
        </w:numPr>
      </w:pPr>
      <w:r>
        <w:rPr>
          <w:rFonts w:ascii="Times New Roman" w:hAnsi="Times New Roman"/>
        </w:rPr>
        <w:t xml:space="preserve">Si Traitement précoce et transplantation </w:t>
      </w:r>
      <w:r>
        <w:rPr>
          <w:rFonts w:ascii="Times New Roman" w:hAnsi="Times New Roman"/>
        </w:rPr>
        <w:t>hépatique :</w:t>
      </w:r>
      <w:r>
        <w:rPr>
          <w:rFonts w:ascii="Times New Roman" w:hAnsi="Times New Roman"/>
        </w:rPr>
        <w:t xml:space="preserve"> 90% vie normale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 xml:space="preserve">DIAGNOSTIC et Traitement le plus tôt </w:t>
      </w:r>
      <w:r>
        <w:rPr>
          <w:rFonts w:ascii="Times New Roman" w:hAnsi="Times New Roman"/>
        </w:rPr>
        <w:t>possible :</w:t>
      </w:r>
      <w:r>
        <w:rPr>
          <w:rFonts w:ascii="Times New Roman" w:hAnsi="Times New Roman"/>
        </w:rPr>
        <w:t xml:space="preserve"> 2 semaines d'ictère, hépatomégalie et selles décolorés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>Triade clinique en postnatal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 xml:space="preserve">Intervention de </w:t>
      </w:r>
      <w:r>
        <w:rPr>
          <w:rFonts w:ascii="Times New Roman" w:hAnsi="Times New Roman"/>
        </w:rPr>
        <w:t>Kasai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>Transplantation hépatique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>Surveillance des complications, suivi à vie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