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PARTICULARITÉS DE L'INFECTION À VIH CHEZ L'ENFANT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34"/>
        </w:numPr>
      </w:pPr>
      <w:r>
        <w:rPr/>
        <w:t>CITER LES DIFFÉRENTS MODES DE CONTAMINATION</w:t>
      </w:r>
    </w:p>
    <w:p>
      <w:pPr>
        <w:numPr>
          <w:ilvl w:val="0"/>
          <w:numId w:val="34"/>
        </w:numPr>
      </w:pPr>
      <w:r>
        <w:rPr/>
        <w:t>Principes de la PTME</w:t>
      </w:r>
    </w:p>
    <w:p>
      <w:pPr>
        <w:numPr>
          <w:ilvl w:val="0"/>
          <w:numId w:val="34"/>
        </w:numPr>
      </w:pPr>
      <w:r>
        <w:rPr/>
        <w:t>Décrire la classification clinique</w:t>
      </w:r>
    </w:p>
    <w:p>
      <w:pPr>
        <w:numPr>
          <w:ilvl w:val="0"/>
          <w:numId w:val="34"/>
        </w:numPr>
      </w:pPr>
      <w:r>
        <w:rPr/>
        <w:t>Principe ARV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35"/>
        </w:numPr>
      </w:pPr>
      <w:r>
        <w:rPr/>
        <w:t>Notion à connaître</w:t>
      </w:r>
    </w:p>
    <w:p>
      <w:pPr>
        <w:numPr>
          <w:ilvl w:val="1"/>
          <w:numId w:val="35"/>
        </w:numPr>
      </w:pPr>
      <w:r>
        <w:rPr/>
        <w:t>Depuis 30 ans, VIH en pédiatrie</w:t>
      </w:r>
    </w:p>
    <w:p>
      <w:pPr>
        <w:numPr>
          <w:ilvl w:val="2"/>
          <w:numId w:val="35"/>
        </w:numPr>
      </w:pPr>
      <w:r>
        <w:rPr/>
        <w:t>Diminution majeure de la TME du VIH-1</w:t>
      </w:r>
    </w:p>
    <w:p>
      <w:pPr>
        <w:numPr>
          <w:ilvl w:val="2"/>
          <w:numId w:val="35"/>
        </w:numPr>
      </w:pPr>
      <w:r>
        <w:rPr/>
        <w:t>Diminution de la mortalité</w:t>
      </w:r>
    </w:p>
    <w:p>
      <w:pPr>
        <w:numPr>
          <w:ilvl w:val="1"/>
          <w:numId w:val="35"/>
        </w:numPr>
      </w:pPr>
      <w:r>
        <w:rPr/>
        <w:t xml:space="preserve">Problème de posologie ?? </w:t>
      </w:r>
    </w:p>
    <w:p>
      <w:pPr>
        <w:numPr>
          <w:ilvl w:val="1"/>
          <w:numId w:val="35"/>
        </w:numPr>
      </w:pPr>
      <w:r>
        <w:rPr/>
        <w:t xml:space="preserve">Questions </w:t>
      </w:r>
    </w:p>
    <w:p>
      <w:pPr>
        <w:numPr>
          <w:ilvl w:val="2"/>
          <w:numId w:val="35"/>
        </w:numPr>
      </w:pPr>
      <w:r>
        <w:rPr/>
        <w:t xml:space="preserve">Epidémiologie et présentation ? </w:t>
      </w:r>
    </w:p>
    <w:p>
      <w:pPr>
        <w:numPr>
          <w:ilvl w:val="2"/>
          <w:numId w:val="35"/>
        </w:numPr>
      </w:pPr>
      <w:r>
        <w:rPr/>
        <w:t xml:space="preserve">Stratégies thérapeutiques ? </w:t>
      </w:r>
    </w:p>
    <w:p>
      <w:pPr>
        <w:numPr>
          <w:ilvl w:val="2"/>
          <w:numId w:val="35"/>
        </w:numPr>
      </w:pPr>
      <w:r>
        <w:rPr/>
        <w:t>Toxicité</w:t>
      </w:r>
      <w:r>
        <w:rPr/>
        <w:t xml:space="preserve"> à long terme des ARV ? </w:t>
      </w:r>
    </w:p>
    <w:p>
      <w:pPr>
        <w:numPr>
          <w:ilvl w:val="2"/>
          <w:numId w:val="35"/>
        </w:numPr>
      </w:pPr>
      <w:r>
        <w:rPr/>
        <w:t xml:space="preserve">Devenir à long terme des enfants infectées ? </w:t>
      </w:r>
      <w:r>
        <w:rPr/>
        <w:br/>
      </w:r>
    </w:p>
    <w:p>
      <w:pPr>
        <w:numPr>
          <w:ilvl w:val="0"/>
          <w:numId w:val="35"/>
        </w:numPr>
      </w:pPr>
      <w:r>
        <w:rPr/>
        <w:t>Repères épidémio</w:t>
      </w:r>
      <w:r>
        <w:rPr/>
        <w:t>logiques</w:t>
      </w:r>
    </w:p>
    <w:p>
      <w:pPr>
        <w:numPr>
          <w:ilvl w:val="1"/>
          <w:numId w:val="35"/>
        </w:numPr>
      </w:pPr>
      <w:r>
        <w:rPr/>
        <w:t>L'enfant est infecté dans plus de 90% cas par : TME</w:t>
      </w:r>
      <w:r>
        <w:rPr/>
        <w:br/>
      </w:r>
    </w:p>
    <w:p>
      <w:pPr>
        <w:numPr>
          <w:ilvl w:val="0"/>
          <w:numId w:val="35"/>
        </w:numPr>
      </w:pPr>
      <w:r>
        <w:rPr/>
        <w:t>Modes de contamination</w:t>
      </w:r>
    </w:p>
    <w:p>
      <w:pPr>
        <w:numPr>
          <w:ilvl w:val="1"/>
          <w:numId w:val="35"/>
        </w:numPr>
      </w:pPr>
      <w:r>
        <w:rPr/>
        <w:t>TME</w:t>
      </w:r>
    </w:p>
    <w:p>
      <w:pPr>
        <w:numPr>
          <w:ilvl w:val="1"/>
          <w:numId w:val="35"/>
        </w:numPr>
      </w:pPr>
      <w:r>
        <w:rPr/>
        <w:t xml:space="preserve">Plus de 95% : in utéro </w:t>
      </w:r>
    </w:p>
    <w:p>
      <w:pPr>
        <w:numPr>
          <w:ilvl w:val="1"/>
          <w:numId w:val="35"/>
        </w:numPr>
      </w:pPr>
      <w:r>
        <w:rPr/>
        <w:t>Lors de l'accouchement (</w:t>
      </w:r>
      <w:r>
        <w:rPr>
          <w:i/>
        </w:rPr>
        <w:t>éviter les gestes invasifs pour éviter une effraction muqueuse</w:t>
      </w:r>
    </w:p>
    <w:p>
      <w:pPr>
        <w:numPr>
          <w:ilvl w:val="1"/>
          <w:numId w:val="35"/>
        </w:numPr>
      </w:pPr>
      <w:r>
        <w:rPr/>
        <w:t>Allaitement au sein</w:t>
      </w:r>
    </w:p>
    <w:p>
      <w:pPr>
        <w:numPr>
          <w:ilvl w:val="1"/>
          <w:numId w:val="35"/>
        </w:numPr>
      </w:pPr>
      <w:r>
        <w:rPr/>
        <w:t>Rare : injections à risque, transfusion PSL infectés, violences sexuelles, rapports sexuels, scarification</w:t>
      </w:r>
    </w:p>
    <w:p>
      <w:pPr/>
    </w:p>
    <w:p>
      <w:pPr>
        <w:pStyle w:val="Heading2"/>
      </w:pPr>
      <w:r>
        <w:rPr/>
        <w:t>PEC d'un nourrisson mère VIH positive</w:t>
      </w:r>
    </w:p>
    <w:p>
      <w:pPr/>
      <w:r>
        <w:rPr/>
        <w:t xml:space="preserve">Objectif : </w:t>
      </w:r>
    </w:p>
    <w:p>
      <w:pPr>
        <w:numPr>
          <w:ilvl w:val="0"/>
          <w:numId w:val="36"/>
        </w:numPr>
      </w:pPr>
      <w:r>
        <w:rPr/>
        <w:t>Poursuite</w:t>
      </w:r>
      <w:r>
        <w:rPr/>
        <w:t xml:space="preserve"> et optimisation de la prévention de la TME dans la phase post-natale</w:t>
      </w:r>
    </w:p>
    <w:p>
      <w:pPr>
        <w:numPr>
          <w:ilvl w:val="0"/>
          <w:numId w:val="36"/>
        </w:numPr>
      </w:pPr>
      <w:r>
        <w:rPr/>
        <w:t>Diagnostic de non contamination</w:t>
      </w:r>
    </w:p>
    <w:p>
      <w:pPr>
        <w:numPr>
          <w:ilvl w:val="0"/>
          <w:numId w:val="36"/>
        </w:numPr>
      </w:pPr>
      <w:r>
        <w:rPr/>
        <w:t>Dépistage et suivi de la toxicité liée aux ARV</w:t>
      </w:r>
    </w:p>
    <w:p>
      <w:pPr>
        <w:numPr>
          <w:ilvl w:val="0"/>
          <w:numId w:val="36"/>
        </w:numPr>
      </w:pPr>
      <w:r>
        <w:rPr/>
        <w:t>Favoriser les relations mère-enfant (</w:t>
      </w:r>
      <w:r>
        <w:rPr>
          <w:i/>
        </w:rPr>
        <w:t xml:space="preserve">conscience </w:t>
      </w:r>
      <w:r>
        <w:rPr>
          <w:i/>
        </w:rPr>
        <w:t>enfant :</w:t>
      </w:r>
      <w:r>
        <w:rPr>
          <w:i/>
        </w:rPr>
        <w:t xml:space="preserve"> accuse la mère) </w:t>
      </w:r>
    </w:p>
    <w:p>
      <w:pPr>
        <w:numPr>
          <w:ilvl w:val="1"/>
          <w:numId w:val="36"/>
        </w:numPr>
      </w:pPr>
      <w:r>
        <w:rPr/>
        <w:t>Pec multidisciplinaire</w:t>
      </w:r>
    </w:p>
    <w:p>
      <w:pPr>
        <w:pStyle w:val="Heading2"/>
      </w:pPr>
      <w:r>
        <w:rPr/>
        <w:t>Prévention de la transmission mère-enfant PTME</w:t>
      </w:r>
    </w:p>
    <w:p>
      <w:pPr>
        <w:numPr>
          <w:ilvl w:val="0"/>
          <w:numId w:val="37"/>
        </w:numPr>
      </w:pPr>
      <w:r>
        <w:rPr/>
        <w:t>Dépistage de toutes les femmes enceintes</w:t>
      </w:r>
    </w:p>
    <w:p>
      <w:pPr>
        <w:numPr>
          <w:ilvl w:val="0"/>
          <w:numId w:val="37"/>
        </w:numPr>
      </w:pPr>
      <w:r>
        <w:rPr/>
        <w:t xml:space="preserve">ARV pour la femme enceinte </w:t>
      </w:r>
      <w:r>
        <w:rPr/>
        <w:t>VIH (</w:t>
      </w:r>
      <w:r>
        <w:rPr/>
        <w:t xml:space="preserve">+) </w:t>
      </w:r>
    </w:p>
    <w:p>
      <w:pPr>
        <w:numPr>
          <w:ilvl w:val="0"/>
          <w:numId w:val="37"/>
        </w:numPr>
      </w:pPr>
      <w:r>
        <w:rPr/>
        <w:t>Sécuriser l'allaitement maternel par les ARV : T3 de la mère, traitement de l'enfant, prophylaxie post-exposition</w:t>
      </w:r>
    </w:p>
    <w:p>
      <w:pPr>
        <w:numPr>
          <w:ilvl w:val="0"/>
          <w:numId w:val="37"/>
        </w:numPr>
      </w:pPr>
      <w:r>
        <w:rPr/>
        <w:t xml:space="preserve">Prévention post-natale de la </w:t>
      </w:r>
      <w:r>
        <w:rPr/>
        <w:t>transmission :</w:t>
      </w:r>
    </w:p>
    <w:p>
      <w:pPr>
        <w:numPr>
          <w:ilvl w:val="1"/>
          <w:numId w:val="37"/>
        </w:numPr>
      </w:pPr>
      <w:r>
        <w:rPr/>
        <w:t>Débuter en salle de travail</w:t>
      </w:r>
    </w:p>
    <w:p>
      <w:pPr>
        <w:numPr>
          <w:ilvl w:val="1"/>
          <w:numId w:val="37"/>
        </w:numPr>
      </w:pPr>
      <w:r>
        <w:rPr/>
        <w:t>Diminuer le contact du virus avec la muqueuse du NN</w:t>
      </w:r>
    </w:p>
    <w:p>
      <w:pPr>
        <w:numPr>
          <w:ilvl w:val="2"/>
          <w:numId w:val="37"/>
        </w:numPr>
      </w:pPr>
      <w:r>
        <w:rPr/>
        <w:t>Bain antiseptique</w:t>
      </w:r>
    </w:p>
    <w:p>
      <w:pPr>
        <w:numPr>
          <w:ilvl w:val="2"/>
          <w:numId w:val="37"/>
        </w:numPr>
      </w:pPr>
      <w:r>
        <w:rPr/>
        <w:t>Désinfection oculaire</w:t>
      </w:r>
    </w:p>
    <w:p>
      <w:pPr>
        <w:numPr>
          <w:ilvl w:val="2"/>
          <w:numId w:val="37"/>
        </w:numPr>
      </w:pPr>
      <w:r>
        <w:rPr/>
        <w:t>Diminuer tout risque d'effraction muqueuse</w:t>
      </w:r>
    </w:p>
    <w:p>
      <w:pPr>
        <w:numPr>
          <w:ilvl w:val="1"/>
          <w:numId w:val="37"/>
        </w:numPr>
      </w:pPr>
      <w:r>
        <w:rPr/>
        <w:t>Début ARV dans les 12 premières heures</w:t>
      </w:r>
    </w:p>
    <w:p>
      <w:pPr>
        <w:numPr>
          <w:ilvl w:val="0"/>
          <w:numId w:val="37"/>
        </w:numPr>
      </w:pPr>
      <w:r>
        <w:rPr/>
        <w:t>Diagnostic précoce chez le nourrisson</w:t>
      </w:r>
    </w:p>
    <w:p>
      <w:pPr>
        <w:numPr>
          <w:ilvl w:val="1"/>
          <w:numId w:val="37"/>
        </w:numPr>
      </w:pPr>
      <w:r>
        <w:rPr/>
        <w:t>Isolement du virus avant 18 mois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23"/>
          </w:tcPr>
          <w:p/>
          <w:p>
            <w:pPr>
              <w:numPr>
                <w:ilvl w:val="1"/>
                <w:numId w:val="37"/>
              </w:numPr>
            </w:pPr>
            <w:r>
              <w:rPr/>
              <w:t>Sensibilité</w:t>
            </w:r>
          </w:p>
        </w:tc>
        <w:tc>
          <w:tcPr>
            <w:tcW w:type="dxa" w:w="2237"/>
          </w:tcPr>
          <w:p/>
          <w:p>
            <w:pPr>
              <w:numPr>
                <w:ilvl w:val="1"/>
                <w:numId w:val="37"/>
              </w:numPr>
            </w:pPr>
            <w:r>
              <w:rPr/>
              <w:t>Naissance</w:t>
            </w:r>
          </w:p>
        </w:tc>
        <w:tc>
          <w:tcPr>
            <w:tcW w:type="dxa" w:w="1854"/>
          </w:tcPr>
          <w:p/>
          <w:p>
            <w:pPr>
              <w:numPr>
                <w:ilvl w:val="1"/>
                <w:numId w:val="37"/>
              </w:numPr>
            </w:pPr>
            <w:r>
              <w:rPr/>
              <w:t>J15</w:t>
            </w:r>
          </w:p>
        </w:tc>
        <w:tc>
          <w:tcPr>
            <w:tcW w:type="dxa" w:w="1868"/>
          </w:tcPr>
          <w:p/>
          <w:p>
            <w:pPr>
              <w:numPr>
                <w:ilvl w:val="1"/>
                <w:numId w:val="37"/>
              </w:numPr>
            </w:pPr>
            <w:r>
              <w:rPr/>
              <w:t>M1-M3</w:t>
            </w:r>
          </w:p>
        </w:tc>
      </w:tr>
    </w:tbl>
    <w:p>
      <w:pPr>
        <w:pStyle w:val="Heading2"/>
      </w:pPr>
      <w:r>
        <w:rPr/>
        <w:t>DIAGNOSTIC</w:t>
      </w:r>
    </w:p>
    <w:p>
      <w:pPr>
        <w:numPr>
          <w:ilvl w:val="0"/>
          <w:numId w:val="38"/>
        </w:numPr>
      </w:pPr>
      <w:r>
        <w:rPr/>
        <w:t>Diagnostic de non contamination à l'âge de 3 mois : au moins 2 prélèvements négatifs en dehors de la période de prophylaxie</w:t>
      </w:r>
    </w:p>
    <w:p>
      <w:pPr>
        <w:numPr>
          <w:ilvl w:val="1"/>
          <w:numId w:val="38"/>
        </w:numPr>
      </w:pPr>
      <w:r>
        <w:rPr/>
        <w:t>Si FDR d'infection à VIH : Bactrim dès 6 semaines</w:t>
      </w:r>
    </w:p>
    <w:p>
      <w:pPr>
        <w:numPr>
          <w:ilvl w:val="1"/>
          <w:numId w:val="38"/>
        </w:numPr>
      </w:pPr>
      <w:r>
        <w:rPr/>
        <w:t>Contre-indication temporaire du BCG</w:t>
      </w:r>
    </w:p>
    <w:p>
      <w:pPr>
        <w:numPr>
          <w:ilvl w:val="1"/>
          <w:numId w:val="38"/>
        </w:numPr>
      </w:pPr>
    </w:p>
    <w:p>
      <w:pPr>
        <w:numPr>
          <w:ilvl w:val="0"/>
          <w:numId w:val="38"/>
        </w:numPr>
      </w:pPr>
      <w:r>
        <w:rPr/>
        <w:t>Profil clinique évolutif</w:t>
      </w:r>
    </w:p>
    <w:p>
      <w:pPr>
        <w:numPr>
          <w:ilvl w:val="1"/>
          <w:numId w:val="38"/>
        </w:numPr>
      </w:pPr>
      <w:r>
        <w:rPr/>
        <w:t>Evolution bimodale</w:t>
      </w:r>
    </w:p>
    <w:p>
      <w:pPr>
        <w:numPr>
          <w:ilvl w:val="1"/>
          <w:numId w:val="38"/>
        </w:numPr>
      </w:pPr>
      <w:r>
        <w:drawing>
          <wp:inline xmlns:a="http://schemas.openxmlformats.org/drawingml/2006/main" xmlns:pic="http://schemas.openxmlformats.org/drawingml/2006/picture">
            <wp:extent cx="50800000" cy="381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0" cy="38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8"/>
        </w:numPr>
      </w:pPr>
      <w:r>
        <w:rPr/>
        <w:t>Sévérité clinique et immunologique CDC 1994</w:t>
      </w:r>
    </w:p>
    <w:p>
      <w:pPr>
        <w:numPr>
          <w:ilvl w:val="1"/>
          <w:numId w:val="38"/>
        </w:numPr>
      </w:pPr>
      <w:r>
        <w:rPr/>
        <w:t>Classification clinique + biologique</w:t>
      </w:r>
    </w:p>
    <w:p>
      <w:pPr>
        <w:numPr>
          <w:ilvl w:val="2"/>
          <w:numId w:val="38"/>
        </w:numPr>
      </w:pPr>
      <w:r>
        <w:rPr/>
        <w:t>Clinique</w:t>
      </w:r>
    </w:p>
    <w:p>
      <w:pPr>
        <w:numPr>
          <w:ilvl w:val="3"/>
          <w:numId w:val="38"/>
        </w:numPr>
      </w:pPr>
      <w:r>
        <w:rPr/>
        <w:t>Catégorie N : asymptomatique</w:t>
      </w:r>
    </w:p>
    <w:p>
      <w:pPr>
        <w:numPr>
          <w:ilvl w:val="3"/>
          <w:numId w:val="38"/>
        </w:numPr>
      </w:pPr>
      <w:r>
        <w:rPr/>
        <w:t xml:space="preserve">A : symptômes mineurs : </w:t>
      </w:r>
      <w:r>
        <w:rPr/>
        <w:t>lymphADP</w:t>
      </w:r>
      <w:r>
        <w:rPr/>
        <w:t xml:space="preserve">, HSMG, dermatose, Parotidite, infections ORL et/ou bronchiques </w:t>
      </w:r>
      <w:r>
        <w:rPr>
          <w:b/>
        </w:rPr>
        <w:t>récidivantes</w:t>
      </w:r>
    </w:p>
    <w:p>
      <w:pPr>
        <w:numPr>
          <w:ilvl w:val="3"/>
          <w:numId w:val="38"/>
        </w:numPr>
      </w:pPr>
      <w:r>
        <w:rPr/>
        <w:t xml:space="preserve">B : symptômes modérés : infection bactérienne, pneumopathie lymphoïde, thrombopénie, anémie, neutropénie, zona, candidose ou herpès buccal récidivant, néphropathie, cardiopathie, </w:t>
      </w:r>
      <w:r>
        <w:rPr/>
        <w:t>leïomyosarcome</w:t>
      </w:r>
    </w:p>
    <w:p>
      <w:pPr>
        <w:numPr>
          <w:ilvl w:val="3"/>
          <w:numId w:val="38"/>
        </w:numPr>
      </w:pPr>
      <w:r>
        <w:rPr/>
        <w:t xml:space="preserve">C : infections opportunistes, cachexie ... </w:t>
      </w:r>
    </w:p>
    <w:p>
      <w:pPr>
        <w:numPr>
          <w:ilvl w:val="2"/>
          <w:numId w:val="38"/>
        </w:numPr>
      </w:pPr>
      <w:r>
        <w:rPr/>
        <w:t>Evalutation</w:t>
      </w:r>
      <w:r>
        <w:rPr/>
        <w:t xml:space="preserve"> du déficit immunitaire (taux de CD4 en fonction de l'âge) </w:t>
      </w:r>
    </w:p>
    <w:p>
      <w:pPr>
        <w:numPr>
          <w:ilvl w:val="1"/>
          <w:numId w:val="38"/>
        </w:numPr>
      </w:pPr>
      <w:r>
        <w:drawing>
          <wp:inline xmlns:a="http://schemas.openxmlformats.org/drawingml/2006/main" xmlns:pic="http://schemas.openxmlformats.org/drawingml/2006/picture">
            <wp:extent cx="50800000" cy="381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0" cy="38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2"/>
      </w:pPr>
      <w:r>
        <w:rPr/>
        <w:t>STRATEGIES THERAPEUTIQUES</w:t>
      </w:r>
    </w:p>
    <w:p>
      <w:pPr/>
      <w:r>
        <w:rPr/>
        <w:t>Tout enfant infecté par le VIH-1 doit recevoir un traitement ARV le plus tôt possible</w:t>
      </w:r>
    </w:p>
    <w:p>
      <w:pPr>
        <w:pStyle w:val="Heading3"/>
      </w:pPr>
      <w:r>
        <w:rPr/>
        <w:t xml:space="preserve">Initier le traitement sans délai (dans les 2 semaines) </w:t>
      </w:r>
    </w:p>
    <w:p>
      <w:pPr>
        <w:numPr>
          <w:ilvl w:val="1"/>
          <w:numId w:val="39"/>
        </w:numPr>
      </w:pPr>
      <w:r>
        <w:rPr/>
        <w:t>Enfants moins de 24 mois</w:t>
      </w:r>
      <w:r>
        <w:rPr/>
        <w:t xml:space="preserve"> </w:t>
      </w:r>
      <w:r>
        <w:rPr/>
        <w:t xml:space="preserve">(AI) </w:t>
      </w:r>
    </w:p>
    <w:p>
      <w:pPr>
        <w:numPr>
          <w:ilvl w:val="1"/>
          <w:numId w:val="39"/>
        </w:numPr>
      </w:pPr>
      <w:r>
        <w:rPr/>
        <w:t xml:space="preserve">Enfants symptomatiques CDC B ou C (AI) </w:t>
      </w:r>
    </w:p>
    <w:p>
      <w:pPr>
        <w:numPr>
          <w:ilvl w:val="1"/>
          <w:numId w:val="39"/>
        </w:numPr>
      </w:pPr>
      <w:r>
        <w:rPr/>
        <w:t>Enfants asymptomatiques : selon CD4 (</w:t>
      </w:r>
      <w:r>
        <w:rPr/>
        <w:t>pdf</w:t>
      </w:r>
      <w:r>
        <w:rPr/>
        <w:t xml:space="preserve">) </w:t>
      </w:r>
    </w:p>
    <w:p>
      <w:pPr>
        <w:pStyle w:val="Heading3"/>
      </w:pPr>
      <w:r>
        <w:rPr/>
        <w:t xml:space="preserve">Indications </w:t>
      </w:r>
    </w:p>
    <w:p>
      <w:pPr>
        <w:numPr>
          <w:ilvl w:val="1"/>
          <w:numId w:val="39"/>
        </w:numPr>
      </w:pPr>
      <w:r>
        <w:rPr/>
        <w:t>Limitation des choix : galéniques, données disponibles, AMM</w:t>
      </w:r>
    </w:p>
    <w:p>
      <w:pPr>
        <w:numPr>
          <w:ilvl w:val="1"/>
          <w:numId w:val="39"/>
        </w:numPr>
      </w:pPr>
      <w:r>
        <w:rPr/>
        <w:t>Priviligier</w:t>
      </w:r>
      <w:r>
        <w:rPr/>
        <w:t xml:space="preserve"> les trithérapies comportant un inhibiteur de la protéase</w:t>
      </w:r>
    </w:p>
    <w:p>
      <w:pPr>
        <w:pStyle w:val="Heading3"/>
      </w:pPr>
      <w:r>
        <w:rPr/>
        <w:t xml:space="preserve">Effets </w:t>
      </w:r>
      <w:r>
        <w:rPr/>
        <w:t>secondaires ?</w:t>
      </w:r>
      <w:r>
        <w:rPr/>
        <w:t xml:space="preserve"> </w:t>
      </w:r>
    </w:p>
    <w:p>
      <w:pPr>
        <w:numPr>
          <w:ilvl w:val="1"/>
          <w:numId w:val="39"/>
        </w:numPr>
      </w:pPr>
      <w:r>
        <w:rPr/>
        <w:t>Comparables à l'adultes mais parfois difficile à déceler</w:t>
      </w:r>
    </w:p>
    <w:p>
      <w:pPr>
        <w:numPr>
          <w:ilvl w:val="1"/>
          <w:numId w:val="39"/>
        </w:numPr>
      </w:pPr>
      <w:r>
        <w:rPr/>
        <w:t>Interrogatoire et examen physique</w:t>
      </w:r>
    </w:p>
    <w:p>
      <w:pPr>
        <w:numPr>
          <w:ilvl w:val="1"/>
          <w:numId w:val="39"/>
        </w:numPr>
      </w:pPr>
      <w:r>
        <w:rPr/>
        <w:t>Biologie minimale</w:t>
      </w:r>
    </w:p>
    <w:p>
      <w:pPr>
        <w:numPr>
          <w:ilvl w:val="2"/>
          <w:numId w:val="39"/>
        </w:numPr>
      </w:pPr>
      <w:r>
        <w:rPr/>
        <w:t xml:space="preserve">NFS- </w:t>
      </w:r>
      <w:r>
        <w:rPr/>
        <w:t>CR</w:t>
      </w:r>
      <w:r>
        <w:rPr/>
        <w:t>P et transaminases / mois, 3 mois puis par 6 mos</w:t>
      </w:r>
    </w:p>
    <w:p>
      <w:pPr>
        <w:numPr>
          <w:ilvl w:val="2"/>
          <w:numId w:val="39"/>
        </w:numPr>
      </w:pPr>
      <w:r>
        <w:rPr/>
        <w:t>Biochimie complète</w:t>
      </w:r>
    </w:p>
    <w:p>
      <w:pPr>
        <w:numPr>
          <w:ilvl w:val="1"/>
          <w:numId w:val="39"/>
        </w:numPr>
      </w:pPr>
      <w:r>
        <w:rPr/>
        <w:t>Principaux ES</w:t>
      </w:r>
    </w:p>
    <w:p>
      <w:pPr>
        <w:numPr>
          <w:ilvl w:val="2"/>
          <w:numId w:val="39"/>
        </w:numPr>
      </w:pPr>
      <w:r>
        <w:rPr/>
        <w:t>Troubles digestifs : tous les ARV, surtout IP</w:t>
      </w:r>
    </w:p>
    <w:p>
      <w:pPr>
        <w:numPr>
          <w:ilvl w:val="2"/>
          <w:numId w:val="39"/>
        </w:numPr>
      </w:pPr>
      <w:r>
        <w:rPr/>
        <w:t>Troubles hématologiques : INTI</w:t>
      </w:r>
    </w:p>
    <w:p>
      <w:pPr>
        <w:numPr>
          <w:ilvl w:val="2"/>
          <w:numId w:val="39"/>
        </w:numPr>
      </w:pPr>
      <w:r>
        <w:rPr/>
        <w:t>Allergie</w:t>
      </w:r>
    </w:p>
    <w:p>
      <w:pPr>
        <w:numPr>
          <w:ilvl w:val="2"/>
          <w:numId w:val="39"/>
        </w:numPr>
      </w:pPr>
      <w:r>
        <w:rPr/>
        <w:t>Dysfonction mitochondriale</w:t>
      </w:r>
    </w:p>
    <w:p>
      <w:pPr>
        <w:numPr>
          <w:ilvl w:val="2"/>
          <w:numId w:val="39"/>
        </w:numPr>
      </w:pPr>
      <w:r>
        <w:rPr/>
        <w:t xml:space="preserve">Anomalies métaboliques </w:t>
      </w:r>
    </w:p>
    <w:p>
      <w:pPr>
        <w:numPr>
          <w:ilvl w:val="2"/>
          <w:numId w:val="39"/>
        </w:numPr>
      </w:pPr>
      <w:r>
        <w:rPr/>
        <w:t>Troubles du SNC</w:t>
      </w:r>
    </w:p>
    <w:p>
      <w:pPr>
        <w:numPr>
          <w:ilvl w:val="3"/>
          <w:numId w:val="39"/>
        </w:numPr>
      </w:pPr>
      <w:r>
        <w:rPr/>
        <w:t>Protocoles, mais surtout suivi clinique et biologique de la tolérance</w:t>
      </w:r>
    </w:p>
    <w:p>
      <w:pPr>
        <w:numPr>
          <w:ilvl w:val="1"/>
          <w:numId w:val="39"/>
        </w:numPr>
      </w:pPr>
      <w:r>
        <w:rPr/>
        <w:t>Toxicité à long terme</w:t>
      </w:r>
    </w:p>
    <w:p>
      <w:pPr>
        <w:numPr>
          <w:ilvl w:val="2"/>
          <w:numId w:val="39"/>
        </w:numPr>
      </w:pPr>
      <w:r>
        <w:rPr/>
        <w:t>Lipodystrophies</w:t>
      </w:r>
    </w:p>
    <w:p>
      <w:pPr>
        <w:numPr>
          <w:ilvl w:val="2"/>
          <w:numId w:val="39"/>
        </w:numPr>
      </w:pPr>
      <w:r>
        <w:rPr/>
        <w:t xml:space="preserve">Augmentation LDL </w:t>
      </w:r>
      <w:r>
        <w:rPr/>
        <w:t>choléstéroles</w:t>
      </w:r>
      <w:r>
        <w:rPr/>
        <w:t>, TG</w:t>
      </w:r>
    </w:p>
    <w:p>
      <w:pPr>
        <w:numPr>
          <w:ilvl w:val="2"/>
          <w:numId w:val="39"/>
        </w:numPr>
      </w:pPr>
      <w:r>
        <w:rPr/>
        <w:t>Augmentation de l'insulino-résistance</w:t>
      </w:r>
    </w:p>
    <w:p>
      <w:pPr>
        <w:numPr>
          <w:ilvl w:val="1"/>
          <w:numId w:val="39"/>
        </w:numPr>
      </w:pPr>
      <w:r>
        <w:rPr/>
        <w:t>Mesures préventives et vaccins</w:t>
      </w:r>
    </w:p>
    <w:p>
      <w:pPr>
        <w:numPr>
          <w:ilvl w:val="2"/>
          <w:numId w:val="39"/>
        </w:numPr>
      </w:pPr>
      <w:r>
        <w:rPr/>
        <w:t>Dans tous les cas, prévention de la pneumocystose : Bactrim 25mg/kg 3 fois par semaine jusqu'à 12 mois puis selon CD4</w:t>
      </w:r>
    </w:p>
    <w:p>
      <w:pPr>
        <w:numPr>
          <w:ilvl w:val="2"/>
          <w:numId w:val="39"/>
        </w:numPr>
      </w:pPr>
      <w:r>
        <w:rPr/>
        <w:t>Vaccinations sauf BCG, ROR si pas de déficit CD4</w:t>
      </w:r>
    </w:p>
    <w:p>
      <w:pPr>
        <w:numPr>
          <w:ilvl w:val="2"/>
          <w:numId w:val="39"/>
        </w:numPr>
      </w:pPr>
      <w:r>
        <w:rPr/>
        <w:t xml:space="preserve">Vaccin </w:t>
      </w:r>
      <w:r>
        <w:rPr/>
        <w:t>anti-pneumococcique</w:t>
      </w:r>
    </w:p>
    <w:p>
      <w:pPr>
        <w:numPr>
          <w:ilvl w:val="1"/>
          <w:numId w:val="39"/>
        </w:numPr>
      </w:pPr>
      <w:r>
        <w:rPr/>
        <w:t>Problèmes de passage à l'âge adulte</w:t>
      </w:r>
    </w:p>
    <w:p>
      <w:pPr>
        <w:numPr>
          <w:ilvl w:val="2"/>
          <w:numId w:val="39"/>
        </w:numPr>
      </w:pPr>
      <w:r>
        <w:rPr/>
        <w:t>Difficultés d'observance</w:t>
      </w:r>
    </w:p>
    <w:p>
      <w:pPr>
        <w:numPr>
          <w:ilvl w:val="2"/>
          <w:numId w:val="39"/>
        </w:numPr>
      </w:pPr>
      <w:r>
        <w:rPr/>
        <w:t xml:space="preserve">Accompagnement dans l'annonce du diagnostic (réticence/mots, question de la transmission </w:t>
      </w:r>
      <w:r>
        <w:rPr/>
        <w:t>maternelle, ...</w:t>
      </w:r>
      <w:r>
        <w:rPr/>
        <w:t xml:space="preserve">) </w:t>
      </w:r>
    </w:p>
    <w:p>
      <w:pPr>
        <w:numPr>
          <w:ilvl w:val="2"/>
          <w:numId w:val="39"/>
        </w:numPr>
      </w:pPr>
      <w:r>
        <w:rPr/>
        <w:t>Sexualité</w:t>
      </w:r>
    </w:p>
    <w:p>
      <w:pPr>
        <w:numPr>
          <w:ilvl w:val="2"/>
          <w:numId w:val="39"/>
        </w:numPr>
      </w:pPr>
      <w:r>
        <w:rPr/>
        <w:t xml:space="preserve">Passage en service adulte (désir du patient, maturité, évènements </w:t>
      </w:r>
      <w:r>
        <w:rPr/>
        <w:t>scolaires, ...</w:t>
      </w:r>
      <w:r>
        <w:rPr/>
        <w:t xml:space="preserve">) </w:t>
      </w:r>
    </w:p>
    <w:p>
      <w:pPr>
        <w:numPr>
          <w:ilvl w:val="2"/>
          <w:numId w:val="39"/>
        </w:numPr>
      </w:pPr>
      <w:r>
        <w:rPr/>
        <w:t>Projection dans l'avenir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