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4663A" w14:textId="77777777" w:rsidR="00AC5926" w:rsidRDefault="008A5405" w:rsidP="008A5405">
      <w:pPr>
        <w:pStyle w:val="Titre"/>
      </w:pPr>
      <w:r>
        <w:t>CAUSALITE ET BIAIS</w:t>
      </w:r>
    </w:p>
    <w:p w14:paraId="4A029A68" w14:textId="77777777" w:rsidR="00AC5926" w:rsidRDefault="008A5405" w:rsidP="006D4CD9">
      <w:pPr>
        <w:pStyle w:val="Titre1"/>
      </w:pPr>
      <w:r>
        <w:t>OBJECTIFS</w:t>
      </w:r>
    </w:p>
    <w:p w14:paraId="60EA71BA" w14:textId="77777777" w:rsidR="00AC5926" w:rsidRDefault="008A5405">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Citer les 8 critères de causalité de Hill </w:t>
      </w:r>
    </w:p>
    <w:p w14:paraId="1D19E6A2" w14:textId="77777777" w:rsidR="00AC5926" w:rsidRDefault="008A5405">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Citer les différents biais observés dans les études observationnelles analytiques </w:t>
      </w:r>
    </w:p>
    <w:p w14:paraId="05B18436" w14:textId="77777777" w:rsidR="00AC5926" w:rsidRDefault="00AC5926">
      <w:pPr>
        <w:rPr>
          <w:rFonts w:ascii="Times New Roman" w:eastAsia="Times New Roman" w:hAnsi="Times New Roman" w:cs="Times New Roman"/>
          <w:sz w:val="28"/>
          <w:szCs w:val="28"/>
        </w:rPr>
      </w:pPr>
    </w:p>
    <w:p w14:paraId="0629B74E" w14:textId="77777777" w:rsidR="00AC5926" w:rsidRDefault="008A5405" w:rsidP="008A5405">
      <w:pPr>
        <w:pStyle w:val="Titre1"/>
      </w:pPr>
      <w:r>
        <w:t>INTRODUCTION</w:t>
      </w:r>
    </w:p>
    <w:p w14:paraId="0969DAD8" w14:textId="77777777" w:rsidR="00AC5926" w:rsidRDefault="008A5405">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Enquête étiologique : mise en cause d’un facteur en affirmant que le risque de contracter la maladie est plus grand dans le groupe exposé que chez le groupe non exposé</w:t>
      </w:r>
    </w:p>
    <w:p w14:paraId="3CFD4A17" w14:textId="77777777" w:rsidR="00AC5926" w:rsidRDefault="008A5405">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Précaution à prendre car une association peut être :</w:t>
      </w:r>
    </w:p>
    <w:p w14:paraId="5C1021FB" w14:textId="77777777" w:rsidR="00AC5926" w:rsidRDefault="008A5405">
      <w:pPr>
        <w:numPr>
          <w:ilvl w:val="1"/>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Réelle et causale : situation idéale</w:t>
      </w:r>
    </w:p>
    <w:p w14:paraId="71F47AEA" w14:textId="77777777" w:rsidR="00AC5926" w:rsidRDefault="008A5405">
      <w:pPr>
        <w:numPr>
          <w:ilvl w:val="1"/>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Réelle et non causale : expérimentation vs observation</w:t>
      </w:r>
    </w:p>
    <w:p w14:paraId="4B1C4FF4" w14:textId="77777777" w:rsidR="00AC5926" w:rsidRDefault="008A5405">
      <w:pPr>
        <w:numPr>
          <w:ilvl w:val="1"/>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Due au hasard : risque de conclure à tort à une différence inexistante (=</w:t>
      </w:r>
      <w:r>
        <w:rPr>
          <w:rFonts w:ascii="Times New Roman" w:eastAsia="Times New Roman" w:hAnsi="Times New Roman" w:cs="Times New Roman"/>
          <w:i/>
          <w:sz w:val="28"/>
          <w:szCs w:val="28"/>
        </w:rPr>
        <w:t>fluctuation d’</w:t>
      </w:r>
      <w:proofErr w:type="spellStart"/>
      <w:r>
        <w:rPr>
          <w:rFonts w:ascii="Times New Roman" w:eastAsia="Times New Roman" w:hAnsi="Times New Roman" w:cs="Times New Roman"/>
          <w:i/>
          <w:sz w:val="28"/>
          <w:szCs w:val="28"/>
        </w:rPr>
        <w:t>échantillonage</w:t>
      </w:r>
      <w:proofErr w:type="spellEnd"/>
      <w:r>
        <w:rPr>
          <w:rFonts w:ascii="Times New Roman" w:eastAsia="Times New Roman" w:hAnsi="Times New Roman" w:cs="Times New Roman"/>
          <w:i/>
          <w:sz w:val="28"/>
          <w:szCs w:val="28"/>
        </w:rPr>
        <w:t>)</w:t>
      </w:r>
    </w:p>
    <w:p w14:paraId="183421AE" w14:textId="77777777" w:rsidR="00AC5926" w:rsidRDefault="008A5405">
      <w:pPr>
        <w:numPr>
          <w:ilvl w:val="1"/>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Due à un biais : imperfections liées à chaque type d’étude</w:t>
      </w:r>
      <w:r>
        <w:rPr>
          <w:rFonts w:ascii="Times New Roman" w:eastAsia="Times New Roman" w:hAnsi="Times New Roman" w:cs="Times New Roman"/>
          <w:sz w:val="28"/>
          <w:szCs w:val="28"/>
        </w:rPr>
        <w:br/>
      </w:r>
    </w:p>
    <w:p w14:paraId="22FCC21E" w14:textId="77777777" w:rsidR="00AC5926" w:rsidRDefault="008A5405">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Epidémiologie analytique : on veut déterminer la cause/déterminant de la maladie</w:t>
      </w:r>
    </w:p>
    <w:p w14:paraId="55AFAB53" w14:textId="77777777" w:rsidR="00AC5926" w:rsidRDefault="008A5405">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“Une cause = une maladie” -&gt; ne concerne pas tous les maladies/phénomène de santé</w:t>
      </w:r>
    </w:p>
    <w:p w14:paraId="4F4C725B" w14:textId="77777777" w:rsidR="00AC5926" w:rsidRDefault="008A5405">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Définition “cause”</w:t>
      </w:r>
    </w:p>
    <w:p w14:paraId="42CBF9C8" w14:textId="77777777" w:rsidR="00AC5926" w:rsidRDefault="008A5405">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Evidence </w:t>
      </w:r>
      <w:proofErr w:type="spellStart"/>
      <w:r>
        <w:rPr>
          <w:rFonts w:ascii="Times New Roman" w:eastAsia="Times New Roman" w:hAnsi="Times New Roman" w:cs="Times New Roman"/>
          <w:sz w:val="28"/>
          <w:szCs w:val="28"/>
        </w:rPr>
        <w:t>based</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medicine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evidence</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based</w:t>
      </w:r>
      <w:proofErr w:type="spellEnd"/>
      <w:r>
        <w:rPr>
          <w:rFonts w:ascii="Times New Roman" w:eastAsia="Times New Roman" w:hAnsi="Times New Roman" w:cs="Times New Roman"/>
          <w:sz w:val="28"/>
          <w:szCs w:val="28"/>
        </w:rPr>
        <w:t xml:space="preserve"> public </w:t>
      </w:r>
      <w:proofErr w:type="spellStart"/>
      <w:r>
        <w:rPr>
          <w:rFonts w:ascii="Times New Roman" w:eastAsia="Times New Roman" w:hAnsi="Times New Roman" w:cs="Times New Roman"/>
          <w:sz w:val="28"/>
          <w:szCs w:val="28"/>
        </w:rPr>
        <w:t>health</w:t>
      </w:r>
      <w:proofErr w:type="spellEnd"/>
    </w:p>
    <w:p w14:paraId="263A36A3" w14:textId="77777777" w:rsidR="00AC5926" w:rsidRDefault="008A5405">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-&gt; Base de la prise de décision</w:t>
      </w:r>
    </w:p>
    <w:p w14:paraId="224EE1E9" w14:textId="77777777" w:rsidR="00AC5926" w:rsidRDefault="008A5405">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Mise en évidence d’une relation probabiliste entre fréquence d’une maladie Y et un facteur X</w:t>
      </w:r>
      <w:r>
        <w:rPr>
          <w:rFonts w:ascii="Times New Roman" w:eastAsia="Times New Roman" w:hAnsi="Times New Roman" w:cs="Times New Roman"/>
          <w:sz w:val="28"/>
          <w:szCs w:val="28"/>
        </w:rPr>
        <w:br/>
      </w:r>
    </w:p>
    <w:p w14:paraId="473D6130" w14:textId="77777777" w:rsidR="00AC5926" w:rsidRDefault="008A5405">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Définition de plusieurs critères permettant d’associer la survenue d’un évènement/maladie et un facteur</w:t>
      </w:r>
    </w:p>
    <w:p w14:paraId="18C65B76" w14:textId="77777777" w:rsidR="00AC5926" w:rsidRDefault="008A5405">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Terminologie :</w:t>
      </w:r>
    </w:p>
    <w:p w14:paraId="0CAF7C5C" w14:textId="77777777" w:rsidR="00AC5926" w:rsidRDefault="008A5405">
      <w:pPr>
        <w:numPr>
          <w:ilvl w:val="1"/>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Facteur de risque : lien causale</w:t>
      </w:r>
    </w:p>
    <w:p w14:paraId="43429BA1" w14:textId="77777777" w:rsidR="00AC5926" w:rsidRDefault="008A5405">
      <w:pPr>
        <w:numPr>
          <w:ilvl w:val="1"/>
          <w:numId w:val="9"/>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Facteur de liaison : pas de lien causale (</w:t>
      </w:r>
      <w:r>
        <w:rPr>
          <w:rFonts w:ascii="Times New Roman" w:eastAsia="Times New Roman" w:hAnsi="Times New Roman" w:cs="Times New Roman"/>
          <w:i/>
          <w:sz w:val="28"/>
          <w:szCs w:val="28"/>
        </w:rPr>
        <w:t>il n’y a pas encore eu de lien causal évident, les critères n’ont pas encore été pris en compte : ex, étude transversale analytique)</w:t>
      </w:r>
    </w:p>
    <w:p w14:paraId="6D5950E5" w14:textId="77777777" w:rsidR="00AC5926" w:rsidRDefault="00AC5926">
      <w:pPr>
        <w:rPr>
          <w:rFonts w:ascii="Times New Roman" w:eastAsia="Times New Roman" w:hAnsi="Times New Roman" w:cs="Times New Roman"/>
          <w:sz w:val="28"/>
          <w:szCs w:val="28"/>
        </w:rPr>
      </w:pPr>
    </w:p>
    <w:p w14:paraId="16814021" w14:textId="77777777" w:rsidR="00AC5926" w:rsidRDefault="008A5405" w:rsidP="008A5405">
      <w:pPr>
        <w:pStyle w:val="Titre1"/>
      </w:pPr>
      <w:r>
        <w:t>LES CRITERES DE CAUSALITE</w:t>
      </w:r>
    </w:p>
    <w:p w14:paraId="7785EADB" w14:textId="77777777" w:rsidR="00AC5926" w:rsidRDefault="008A5405">
      <w:pPr>
        <w:numPr>
          <w:ilvl w:val="0"/>
          <w:numId w:val="17"/>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Critères de causalité établis en 1965 par un épidémiologiste anglais : Sir Bradford Hill -&gt; = </w:t>
      </w:r>
      <w:r>
        <w:rPr>
          <w:rFonts w:ascii="Times New Roman" w:eastAsia="Times New Roman" w:hAnsi="Times New Roman" w:cs="Times New Roman"/>
          <w:b/>
          <w:sz w:val="28"/>
          <w:szCs w:val="28"/>
        </w:rPr>
        <w:t>Critère de causalité de Hill</w:t>
      </w:r>
    </w:p>
    <w:p w14:paraId="678FCE97" w14:textId="77777777" w:rsidR="00AC5926" w:rsidRDefault="008A5405">
      <w:pPr>
        <w:numPr>
          <w:ilvl w:val="0"/>
          <w:numId w:val="17"/>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“aide à la réflexion” </w:t>
      </w:r>
      <w:r>
        <w:rPr>
          <w:rFonts w:ascii="Times New Roman" w:eastAsia="Times New Roman" w:hAnsi="Times New Roman" w:cs="Times New Roman"/>
          <w:sz w:val="28"/>
          <w:szCs w:val="28"/>
        </w:rPr>
        <w:t>plutôt que “</w:t>
      </w:r>
      <w:r>
        <w:rPr>
          <w:rFonts w:ascii="Times New Roman" w:eastAsia="Times New Roman" w:hAnsi="Times New Roman" w:cs="Times New Roman"/>
          <w:b/>
          <w:sz w:val="28"/>
          <w:szCs w:val="28"/>
        </w:rPr>
        <w:t xml:space="preserve">liste à cocher” </w:t>
      </w:r>
      <w:r>
        <w:rPr>
          <w:rFonts w:ascii="Times New Roman" w:eastAsia="Times New Roman" w:hAnsi="Times New Roman" w:cs="Times New Roman"/>
          <w:i/>
          <w:sz w:val="28"/>
          <w:szCs w:val="28"/>
        </w:rPr>
        <w:t>(il peut y avoir des critères non remplis, mais après CMD, on établit quand même un lien de causalité)</w:t>
      </w:r>
    </w:p>
    <w:p w14:paraId="12F55A97" w14:textId="77777777" w:rsidR="00AC5926" w:rsidRDefault="008A5405">
      <w:pPr>
        <w:numPr>
          <w:ilvl w:val="0"/>
          <w:numId w:val="17"/>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Toujours largement accepté dans l’épidémiologie moderne</w:t>
      </w:r>
    </w:p>
    <w:p w14:paraId="69A0FD43" w14:textId="77777777" w:rsidR="00AC5926" w:rsidRDefault="00AC5926">
      <w:pPr>
        <w:spacing w:after="160"/>
        <w:rPr>
          <w:rFonts w:ascii="Times New Roman" w:eastAsia="Times New Roman" w:hAnsi="Times New Roman" w:cs="Times New Roman"/>
          <w:sz w:val="28"/>
          <w:szCs w:val="28"/>
        </w:rPr>
      </w:pPr>
    </w:p>
    <w:p w14:paraId="6020EC33" w14:textId="77777777" w:rsidR="00AC5926" w:rsidRDefault="008A5405" w:rsidP="008A5405">
      <w:pPr>
        <w:pStyle w:val="Titre2"/>
      </w:pPr>
      <w:bookmarkStart w:id="0" w:name="_ofev8jeta7iw" w:colFirst="0" w:colLast="0"/>
      <w:bookmarkEnd w:id="0"/>
      <w:r>
        <w:t>Force de l’association</w:t>
      </w:r>
    </w:p>
    <w:p w14:paraId="6A1239D7" w14:textId="77777777" w:rsidR="00AC5926" w:rsidRDefault="008A5405">
      <w:pPr>
        <w:numPr>
          <w:ilvl w:val="0"/>
          <w:numId w:val="10"/>
        </w:numPr>
        <w:rPr>
          <w:rFonts w:ascii="Times New Roman" w:eastAsia="Times New Roman" w:hAnsi="Times New Roman" w:cs="Times New Roman"/>
          <w:sz w:val="28"/>
          <w:szCs w:val="28"/>
        </w:rPr>
      </w:pPr>
      <w:r>
        <w:rPr>
          <w:rFonts w:ascii="Times New Roman" w:eastAsia="Times New Roman" w:hAnsi="Times New Roman" w:cs="Times New Roman"/>
          <w:sz w:val="28"/>
          <w:szCs w:val="28"/>
        </w:rPr>
        <w:t>Mesure OR ou RR</w:t>
      </w:r>
    </w:p>
    <w:p w14:paraId="5841DAB9" w14:textId="77777777" w:rsidR="00AC5926" w:rsidRDefault="008A5405">
      <w:pPr>
        <w:numPr>
          <w:ilvl w:val="0"/>
          <w:numId w:val="10"/>
        </w:numPr>
        <w:rPr>
          <w:rFonts w:ascii="Times New Roman" w:eastAsia="Times New Roman" w:hAnsi="Times New Roman" w:cs="Times New Roman"/>
          <w:sz w:val="28"/>
          <w:szCs w:val="28"/>
        </w:rPr>
      </w:pPr>
      <w:r>
        <w:rPr>
          <w:rFonts w:ascii="Times New Roman" w:eastAsia="Times New Roman" w:hAnsi="Times New Roman" w:cs="Times New Roman"/>
          <w:sz w:val="28"/>
          <w:szCs w:val="28"/>
        </w:rPr>
        <w:t>Plus RR ou OR est élevé, plus l’association est forte</w:t>
      </w:r>
    </w:p>
    <w:p w14:paraId="7170E171" w14:textId="77777777" w:rsidR="00AC5926" w:rsidRDefault="008A5405">
      <w:pPr>
        <w:numPr>
          <w:ilvl w:val="0"/>
          <w:numId w:val="10"/>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Plus on s’éloigne de 1, plus l’association est forte </w:t>
      </w:r>
    </w:p>
    <w:p w14:paraId="12859E05" w14:textId="77777777" w:rsidR="00AC5926" w:rsidRDefault="00AC5926">
      <w:pPr>
        <w:spacing w:after="160"/>
        <w:rPr>
          <w:rFonts w:ascii="Times New Roman" w:eastAsia="Times New Roman" w:hAnsi="Times New Roman" w:cs="Times New Roman"/>
          <w:sz w:val="28"/>
          <w:szCs w:val="28"/>
        </w:rPr>
      </w:pPr>
    </w:p>
    <w:p w14:paraId="2B0BE3EF" w14:textId="77777777" w:rsidR="00AC5926" w:rsidRDefault="008A5405" w:rsidP="008A5405">
      <w:pPr>
        <w:pStyle w:val="Titre2"/>
      </w:pPr>
      <w:bookmarkStart w:id="1" w:name="_sas80reaavg6" w:colFirst="0" w:colLast="0"/>
      <w:bookmarkEnd w:id="1"/>
      <w:r>
        <w:t>Stabilité de l’association</w:t>
      </w:r>
    </w:p>
    <w:p w14:paraId="0234118F" w14:textId="77777777" w:rsidR="00AC5926" w:rsidRDefault="008A5405">
      <w:pPr>
        <w:numPr>
          <w:ilvl w:val="0"/>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Résultats concordants avec d’autres études similaires réalisées dans d’autres places et des personnes différentes</w:t>
      </w:r>
    </w:p>
    <w:p w14:paraId="2292443D" w14:textId="77777777" w:rsidR="00AC5926" w:rsidRDefault="008A5405">
      <w:pPr>
        <w:numPr>
          <w:ilvl w:val="0"/>
          <w:numId w:val="16"/>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Stabilité avec le degré de signification (p value élevé ou IC étroit)</w:t>
      </w:r>
    </w:p>
    <w:p w14:paraId="60508EDC" w14:textId="77777777" w:rsidR="00AC5926" w:rsidRDefault="00AC5926">
      <w:pPr>
        <w:spacing w:after="160"/>
        <w:rPr>
          <w:rFonts w:ascii="Times New Roman" w:eastAsia="Times New Roman" w:hAnsi="Times New Roman" w:cs="Times New Roman"/>
          <w:sz w:val="28"/>
          <w:szCs w:val="28"/>
        </w:rPr>
      </w:pPr>
    </w:p>
    <w:p w14:paraId="0D856F55" w14:textId="77777777" w:rsidR="00AC5926" w:rsidRDefault="008A5405" w:rsidP="008A5405">
      <w:pPr>
        <w:pStyle w:val="Titre2"/>
      </w:pPr>
      <w:bookmarkStart w:id="2" w:name="_ok4tml6sahti" w:colFirst="0" w:colLast="0"/>
      <w:bookmarkEnd w:id="2"/>
      <w:r>
        <w:t>Spécificité de l’association</w:t>
      </w:r>
    </w:p>
    <w:p w14:paraId="530CC873" w14:textId="77777777" w:rsidR="00AC5926" w:rsidRDefault="008A5405">
      <w:pPr>
        <w:numPr>
          <w:ilvl w:val="0"/>
          <w:numId w:val="2"/>
        </w:numPr>
        <w:rPr>
          <w:rFonts w:ascii="Times New Roman" w:eastAsia="Times New Roman" w:hAnsi="Times New Roman" w:cs="Times New Roman"/>
          <w:sz w:val="28"/>
          <w:szCs w:val="28"/>
        </w:rPr>
      </w:pPr>
      <w:r>
        <w:rPr>
          <w:rFonts w:ascii="Times New Roman" w:eastAsia="Times New Roman" w:hAnsi="Times New Roman" w:cs="Times New Roman"/>
          <w:sz w:val="28"/>
          <w:szCs w:val="28"/>
        </w:rPr>
        <w:t>Une cause produit un effet particulier en l’absence d’autre explication</w:t>
      </w:r>
    </w:p>
    <w:p w14:paraId="2C72C2F0" w14:textId="77777777" w:rsidR="00AC5926" w:rsidRDefault="008A5405">
      <w:pPr>
        <w:numPr>
          <w:ilvl w:val="0"/>
          <w:numId w:val="2"/>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Un facteur parmi plusieurs testés liés à la survenue de la maladie</w:t>
      </w:r>
    </w:p>
    <w:p w14:paraId="49AD3EE3" w14:textId="77777777" w:rsidR="00AC5926" w:rsidRDefault="00AC5926">
      <w:pPr>
        <w:spacing w:after="160"/>
        <w:rPr>
          <w:rFonts w:ascii="Times New Roman" w:eastAsia="Times New Roman" w:hAnsi="Times New Roman" w:cs="Times New Roman"/>
          <w:sz w:val="28"/>
          <w:szCs w:val="28"/>
        </w:rPr>
      </w:pPr>
    </w:p>
    <w:p w14:paraId="1652722B" w14:textId="77777777" w:rsidR="00AC5926" w:rsidRDefault="008A5405" w:rsidP="008A5405">
      <w:pPr>
        <w:pStyle w:val="Titre2"/>
      </w:pPr>
      <w:bookmarkStart w:id="3" w:name="_lkuvrph80m42" w:colFirst="0" w:colLast="0"/>
      <w:bookmarkEnd w:id="3"/>
      <w:r>
        <w:lastRenderedPageBreak/>
        <w:t>Relation temporelle</w:t>
      </w:r>
    </w:p>
    <w:p w14:paraId="73F29E14" w14:textId="77777777" w:rsidR="00AC5926" w:rsidRDefault="008A5405">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Une cause précède toujours l’effet</w:t>
      </w:r>
    </w:p>
    <w:p w14:paraId="3DA769E4" w14:textId="77777777" w:rsidR="00AC5926" w:rsidRDefault="008A5405">
      <w:pPr>
        <w:numPr>
          <w:ilvl w:val="0"/>
          <w:numId w:val="4"/>
        </w:numPr>
        <w:spacing w:after="160"/>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Condition nécessaire</w:t>
      </w:r>
    </w:p>
    <w:p w14:paraId="5A9616C9" w14:textId="77777777" w:rsidR="00AC5926" w:rsidRDefault="00AC5926">
      <w:pPr>
        <w:spacing w:after="160"/>
        <w:rPr>
          <w:rFonts w:ascii="Times New Roman" w:eastAsia="Times New Roman" w:hAnsi="Times New Roman" w:cs="Times New Roman"/>
          <w:b/>
          <w:sz w:val="28"/>
          <w:szCs w:val="28"/>
        </w:rPr>
      </w:pPr>
    </w:p>
    <w:p w14:paraId="4AF4F762" w14:textId="77777777" w:rsidR="00AC5926" w:rsidRDefault="008A5405" w:rsidP="008A5405">
      <w:pPr>
        <w:pStyle w:val="Titre2"/>
      </w:pPr>
      <w:bookmarkStart w:id="4" w:name="_4nislq7gnnqu" w:colFirst="0" w:colLast="0"/>
      <w:bookmarkEnd w:id="4"/>
      <w:r>
        <w:t>Effet dose-réponse</w:t>
      </w:r>
    </w:p>
    <w:p w14:paraId="32C346B1" w14:textId="77777777" w:rsidR="00AC5926" w:rsidRDefault="008A5405">
      <w:pPr>
        <w:numPr>
          <w:ilvl w:val="0"/>
          <w:numId w:val="19"/>
        </w:numPr>
        <w:rPr>
          <w:rFonts w:ascii="Times New Roman" w:eastAsia="Times New Roman" w:hAnsi="Times New Roman" w:cs="Times New Roman"/>
          <w:sz w:val="28"/>
          <w:szCs w:val="28"/>
        </w:rPr>
      </w:pPr>
      <w:r>
        <w:rPr>
          <w:rFonts w:ascii="Times New Roman" w:eastAsia="Times New Roman" w:hAnsi="Times New Roman" w:cs="Times New Roman"/>
          <w:sz w:val="28"/>
          <w:szCs w:val="28"/>
        </w:rPr>
        <w:t>RR/OR augmente avec le degré d’exposition</w:t>
      </w:r>
    </w:p>
    <w:p w14:paraId="087BB0D9" w14:textId="77777777" w:rsidR="00AC5926" w:rsidRDefault="008A5405">
      <w:pPr>
        <w:numPr>
          <w:ilvl w:val="0"/>
          <w:numId w:val="19"/>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Important critère +++</w:t>
      </w:r>
    </w:p>
    <w:p w14:paraId="0C3C1F52" w14:textId="77777777" w:rsidR="00AC5926" w:rsidRDefault="00AC5926">
      <w:pPr>
        <w:pStyle w:val="Titre3"/>
        <w:spacing w:before="40" w:after="120"/>
        <w:rPr>
          <w:rFonts w:ascii="Times New Roman" w:eastAsia="Times New Roman" w:hAnsi="Times New Roman" w:cs="Times New Roman"/>
          <w:b/>
          <w:color w:val="000000"/>
        </w:rPr>
      </w:pPr>
      <w:bookmarkStart w:id="5" w:name="_41gqggbkm588" w:colFirst="0" w:colLast="0"/>
      <w:bookmarkEnd w:id="5"/>
    </w:p>
    <w:p w14:paraId="798A3FE3" w14:textId="77777777" w:rsidR="00AC5926" w:rsidRDefault="008A5405" w:rsidP="008A5405">
      <w:pPr>
        <w:pStyle w:val="Titre2"/>
      </w:pPr>
      <w:bookmarkStart w:id="6" w:name="_ysss4po67zw" w:colFirst="0" w:colLast="0"/>
      <w:bookmarkEnd w:id="6"/>
      <w:r>
        <w:t>Plausibilité biologique</w:t>
      </w:r>
    </w:p>
    <w:p w14:paraId="47C1E305" w14:textId="77777777" w:rsidR="00AC5926" w:rsidRDefault="008A5405">
      <w:pPr>
        <w:numPr>
          <w:ilvl w:val="0"/>
          <w:numId w:val="1"/>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Existence d’argument biologique allant dans le même sens que les résultats épidémiologiques</w:t>
      </w:r>
    </w:p>
    <w:p w14:paraId="742F24E2" w14:textId="77777777" w:rsidR="00AC5926" w:rsidRDefault="00AC5926">
      <w:pPr>
        <w:spacing w:after="160"/>
        <w:rPr>
          <w:rFonts w:ascii="Times New Roman" w:eastAsia="Times New Roman" w:hAnsi="Times New Roman" w:cs="Times New Roman"/>
          <w:sz w:val="28"/>
          <w:szCs w:val="28"/>
        </w:rPr>
      </w:pPr>
    </w:p>
    <w:p w14:paraId="4FA6EBC9" w14:textId="77777777" w:rsidR="00AC5926" w:rsidRDefault="008A5405" w:rsidP="008A5405">
      <w:pPr>
        <w:pStyle w:val="Titre2"/>
      </w:pPr>
      <w:bookmarkStart w:id="7" w:name="_vb58sk4vet8c" w:colFirst="0" w:colLast="0"/>
      <w:bookmarkEnd w:id="7"/>
      <w:r>
        <w:t>Cohérence</w:t>
      </w:r>
    </w:p>
    <w:p w14:paraId="51B05742" w14:textId="77777777" w:rsidR="00AC5926" w:rsidRDefault="008A5405">
      <w:pPr>
        <w:numPr>
          <w:ilvl w:val="0"/>
          <w:numId w:val="6"/>
        </w:numPr>
        <w:rPr>
          <w:rFonts w:ascii="Times New Roman" w:eastAsia="Times New Roman" w:hAnsi="Times New Roman" w:cs="Times New Roman"/>
          <w:sz w:val="28"/>
          <w:szCs w:val="28"/>
        </w:rPr>
      </w:pPr>
      <w:r>
        <w:rPr>
          <w:rFonts w:ascii="Times New Roman" w:eastAsia="Times New Roman" w:hAnsi="Times New Roman" w:cs="Times New Roman"/>
          <w:sz w:val="28"/>
          <w:szCs w:val="28"/>
        </w:rPr>
        <w:t>Concordance des résultats de l’étude à ceux communément admis dans la littérature</w:t>
      </w:r>
    </w:p>
    <w:p w14:paraId="751065A0" w14:textId="77777777" w:rsidR="00AC5926" w:rsidRDefault="008A5405">
      <w:pPr>
        <w:numPr>
          <w:ilvl w:val="0"/>
          <w:numId w:val="6"/>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Argument faible : nouvelles découvertes non prises en compte</w:t>
      </w:r>
    </w:p>
    <w:p w14:paraId="1117A57C" w14:textId="77777777" w:rsidR="00AC5926" w:rsidRDefault="00AC5926">
      <w:pPr>
        <w:spacing w:after="160"/>
        <w:rPr>
          <w:rFonts w:ascii="Times New Roman" w:eastAsia="Times New Roman" w:hAnsi="Times New Roman" w:cs="Times New Roman"/>
          <w:sz w:val="28"/>
          <w:szCs w:val="28"/>
        </w:rPr>
      </w:pPr>
    </w:p>
    <w:p w14:paraId="53345159" w14:textId="77777777" w:rsidR="00AC5926" w:rsidRDefault="008A5405" w:rsidP="008A5405">
      <w:pPr>
        <w:pStyle w:val="Titre2"/>
      </w:pPr>
      <w:bookmarkStart w:id="8" w:name="_vayn7o2ykzzw" w:colFirst="0" w:colLast="0"/>
      <w:bookmarkEnd w:id="8"/>
      <w:r>
        <w:t>Expérimentation</w:t>
      </w:r>
    </w:p>
    <w:p w14:paraId="1921B23B" w14:textId="1CAA634C" w:rsidR="00AC5926" w:rsidRDefault="008A5405">
      <w:pPr>
        <w:numPr>
          <w:ilvl w:val="0"/>
          <w:numId w:val="13"/>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Existence d’argument expérimentaux qui explique la nature de la chaîne causale</w:t>
      </w:r>
    </w:p>
    <w:p w14:paraId="3CBF2E51" w14:textId="77777777" w:rsidR="00AC5926" w:rsidRDefault="00AC5926">
      <w:pPr>
        <w:spacing w:after="160"/>
        <w:rPr>
          <w:rFonts w:ascii="Times New Roman" w:eastAsia="Times New Roman" w:hAnsi="Times New Roman" w:cs="Times New Roman"/>
          <w:sz w:val="28"/>
          <w:szCs w:val="28"/>
        </w:rPr>
      </w:pPr>
    </w:p>
    <w:p w14:paraId="0D60ABB3" w14:textId="77777777" w:rsidR="00AC5926" w:rsidRDefault="008A5405">
      <w:pPr>
        <w:numPr>
          <w:ilvl w:val="0"/>
          <w:numId w:val="18"/>
        </w:numPr>
        <w:rPr>
          <w:rFonts w:ascii="Times New Roman" w:eastAsia="Times New Roman" w:hAnsi="Times New Roman" w:cs="Times New Roman"/>
          <w:sz w:val="28"/>
          <w:szCs w:val="28"/>
        </w:rPr>
      </w:pPr>
      <w:r>
        <w:rPr>
          <w:rFonts w:ascii="Times New Roman" w:eastAsia="Times New Roman" w:hAnsi="Times New Roman" w:cs="Times New Roman"/>
          <w:sz w:val="28"/>
          <w:szCs w:val="28"/>
        </w:rPr>
        <w:t>Application : En se basant sur le critère de causalité de Hill, retrouver les arguments qui nous permettent de dire que :</w:t>
      </w:r>
    </w:p>
    <w:p w14:paraId="50A7B670" w14:textId="77777777" w:rsidR="00AC5926" w:rsidRDefault="008A5405">
      <w:pPr>
        <w:numPr>
          <w:ilvl w:val="1"/>
          <w:numId w:val="18"/>
        </w:numPr>
        <w:rPr>
          <w:rFonts w:ascii="Times New Roman" w:eastAsia="Times New Roman" w:hAnsi="Times New Roman" w:cs="Times New Roman"/>
          <w:sz w:val="28"/>
          <w:szCs w:val="28"/>
        </w:rPr>
      </w:pPr>
      <w:r>
        <w:rPr>
          <w:rFonts w:ascii="Times New Roman" w:eastAsia="Times New Roman" w:hAnsi="Times New Roman" w:cs="Times New Roman"/>
          <w:sz w:val="28"/>
          <w:szCs w:val="28"/>
        </w:rPr>
        <w:t>Le tabagisme est un facteur de risque de survenue de cancer de poumon</w:t>
      </w:r>
    </w:p>
    <w:p w14:paraId="4D0EBA4F" w14:textId="77777777" w:rsidR="00AC5926" w:rsidRDefault="008A5405">
      <w:pPr>
        <w:numPr>
          <w:ilvl w:val="1"/>
          <w:numId w:val="18"/>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Boire du café est un facteur de risque de survenue de cancer de poumons</w:t>
      </w:r>
    </w:p>
    <w:p w14:paraId="490E3773" w14:textId="77777777" w:rsidR="00AC5926" w:rsidRDefault="00AC5926">
      <w:pPr>
        <w:spacing w:after="160"/>
        <w:rPr>
          <w:rFonts w:ascii="Times New Roman" w:eastAsia="Times New Roman" w:hAnsi="Times New Roman" w:cs="Times New Roman"/>
          <w:sz w:val="28"/>
          <w:szCs w:val="28"/>
        </w:rPr>
      </w:pPr>
    </w:p>
    <w:p w14:paraId="41720CF2" w14:textId="77777777" w:rsidR="00AC5926" w:rsidRDefault="008A5405" w:rsidP="008A5405">
      <w:pPr>
        <w:pStyle w:val="Titre1"/>
      </w:pPr>
      <w:bookmarkStart w:id="9" w:name="_bw0owhkkxffe" w:colFirst="0" w:colLast="0"/>
      <w:bookmarkEnd w:id="9"/>
      <w:r>
        <w:t>DIFFERENTS TYPES DE BIAIS</w:t>
      </w:r>
    </w:p>
    <w:p w14:paraId="4F677568" w14:textId="77777777" w:rsidR="00AC5926" w:rsidRDefault="008A5405" w:rsidP="008A5405">
      <w:pPr>
        <w:pStyle w:val="Titre2"/>
      </w:pPr>
      <w:bookmarkStart w:id="10" w:name="_dwuvn3leboh5" w:colFirst="0" w:colLast="0"/>
      <w:bookmarkEnd w:id="10"/>
      <w:r>
        <w:t>Définition et conséquence</w:t>
      </w:r>
    </w:p>
    <w:p w14:paraId="4F0FFA49" w14:textId="77777777" w:rsidR="00AC5926" w:rsidRDefault="008A5405">
      <w:pPr>
        <w:numPr>
          <w:ilvl w:val="0"/>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Erreur systématique survenant dans une enquête lorsque le choix des groupes exposés ou non exposés n’a pas été réalisé indépendamment de la survenue de la maladie (cohorte) OU lorsque le choix des cas et des témoins </w:t>
      </w:r>
      <w:proofErr w:type="gramStart"/>
      <w:r>
        <w:rPr>
          <w:rFonts w:ascii="Times New Roman" w:eastAsia="Times New Roman" w:hAnsi="Times New Roman" w:cs="Times New Roman"/>
          <w:sz w:val="28"/>
          <w:szCs w:val="28"/>
        </w:rPr>
        <w:t>n’ont</w:t>
      </w:r>
      <w:proofErr w:type="gramEnd"/>
      <w:r>
        <w:rPr>
          <w:rFonts w:ascii="Times New Roman" w:eastAsia="Times New Roman" w:hAnsi="Times New Roman" w:cs="Times New Roman"/>
          <w:sz w:val="28"/>
          <w:szCs w:val="28"/>
        </w:rPr>
        <w:t xml:space="preserve"> pas été effectué indépendamment de l’exposition (cas témoins)</w:t>
      </w:r>
    </w:p>
    <w:p w14:paraId="3301A4C0" w14:textId="77777777" w:rsidR="00AC5926" w:rsidRDefault="008A5405">
      <w:pPr>
        <w:numPr>
          <w:ilvl w:val="0"/>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Conséquence : distorsion de la valeur de (mesure d’association) OR et de RR : sous-estimation, surestimation voire inversion</w:t>
      </w:r>
      <w:r>
        <w:rPr>
          <w:rFonts w:ascii="Times New Roman" w:eastAsia="Times New Roman" w:hAnsi="Times New Roman" w:cs="Times New Roman"/>
          <w:sz w:val="28"/>
          <w:szCs w:val="28"/>
        </w:rPr>
        <w:br/>
      </w:r>
    </w:p>
    <w:p w14:paraId="611A389C" w14:textId="77777777" w:rsidR="00AC5926" w:rsidRDefault="008A5405">
      <w:pPr>
        <w:numPr>
          <w:ilvl w:val="0"/>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Met en jeu la validité de l’étude</w:t>
      </w:r>
    </w:p>
    <w:p w14:paraId="45FA90DD" w14:textId="77777777" w:rsidR="00AC5926" w:rsidRDefault="008A5405">
      <w:pPr>
        <w:numPr>
          <w:ilvl w:val="0"/>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A l’origine de fausse association, masque une association</w:t>
      </w:r>
    </w:p>
    <w:p w14:paraId="3894401C" w14:textId="77777777" w:rsidR="00AC5926" w:rsidRDefault="008A5405">
      <w:pPr>
        <w:numPr>
          <w:ilvl w:val="0"/>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Trois types de biais :</w:t>
      </w:r>
    </w:p>
    <w:p w14:paraId="2A6C3323" w14:textId="77777777" w:rsidR="00AC5926" w:rsidRDefault="008A5405">
      <w:pPr>
        <w:numPr>
          <w:ilvl w:val="1"/>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Biais de sélection</w:t>
      </w:r>
    </w:p>
    <w:p w14:paraId="13F28BB3" w14:textId="77777777" w:rsidR="00AC5926" w:rsidRDefault="008A5405">
      <w:pPr>
        <w:numPr>
          <w:ilvl w:val="1"/>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Biais de classement </w:t>
      </w:r>
    </w:p>
    <w:p w14:paraId="5AE61E87" w14:textId="77777777" w:rsidR="00AC5926" w:rsidRDefault="008A5405">
      <w:pPr>
        <w:numPr>
          <w:ilvl w:val="1"/>
          <w:numId w:val="14"/>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Biais de confusion</w:t>
      </w:r>
    </w:p>
    <w:p w14:paraId="492E0C57" w14:textId="77777777" w:rsidR="00AC5926" w:rsidRDefault="00AC5926">
      <w:pPr>
        <w:spacing w:after="160"/>
        <w:rPr>
          <w:rFonts w:ascii="Times New Roman" w:eastAsia="Times New Roman" w:hAnsi="Times New Roman" w:cs="Times New Roman"/>
          <w:sz w:val="28"/>
          <w:szCs w:val="28"/>
        </w:rPr>
      </w:pPr>
    </w:p>
    <w:p w14:paraId="069C43A5" w14:textId="77777777" w:rsidR="00AC5926" w:rsidRDefault="008A5405" w:rsidP="008A5405">
      <w:pPr>
        <w:pStyle w:val="Titre2"/>
      </w:pPr>
      <w:bookmarkStart w:id="11" w:name="_u8afk5568asz" w:colFirst="0" w:colLast="0"/>
      <w:bookmarkEnd w:id="11"/>
      <w:r>
        <w:t>Biais de sélection</w:t>
      </w:r>
    </w:p>
    <w:p w14:paraId="33DBC2D8" w14:textId="77777777" w:rsidR="00AC5926" w:rsidRDefault="008A5405">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Echantillon non représentative de la population étudiée</w:t>
      </w:r>
    </w:p>
    <w:p w14:paraId="10CEB143" w14:textId="77777777" w:rsidR="00AC5926" w:rsidRDefault="008A5405">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Exemples :</w:t>
      </w:r>
    </w:p>
    <w:p w14:paraId="6473142E" w14:textId="77777777" w:rsidR="00AC5926" w:rsidRDefault="008A5405">
      <w:pPr>
        <w:numPr>
          <w:ilvl w:val="1"/>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Surveillance : Cas exposés plus facilement détectés que les non exposés</w:t>
      </w:r>
    </w:p>
    <w:p w14:paraId="2DDA156F" w14:textId="77777777" w:rsidR="00AC5926" w:rsidRDefault="008A5405">
      <w:pPr>
        <w:numPr>
          <w:ilvl w:val="1"/>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Perdue de vues : Cas non exposé sains plus à risque d’être perdu de vue</w:t>
      </w:r>
    </w:p>
    <w:p w14:paraId="22750C4E" w14:textId="77777777" w:rsidR="00AC5926" w:rsidRDefault="008A5405">
      <w:pPr>
        <w:numPr>
          <w:ilvl w:val="1"/>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Non réponses : Omission plus fréquente chez les cas exposés ou les témoins non exposés</w:t>
      </w:r>
    </w:p>
    <w:p w14:paraId="7F65E306" w14:textId="77777777" w:rsidR="00AC5926" w:rsidRDefault="008A5405">
      <w:pPr>
        <w:numPr>
          <w:ilvl w:val="1"/>
          <w:numId w:val="5"/>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2C36375" w14:textId="77777777" w:rsidR="00AC5926" w:rsidRDefault="00AC5926">
      <w:pPr>
        <w:spacing w:after="160"/>
        <w:rPr>
          <w:rFonts w:ascii="Times New Roman" w:eastAsia="Times New Roman" w:hAnsi="Times New Roman" w:cs="Times New Roman"/>
          <w:sz w:val="28"/>
          <w:szCs w:val="28"/>
        </w:rPr>
      </w:pPr>
    </w:p>
    <w:p w14:paraId="1CCB1FCD" w14:textId="77777777" w:rsidR="00AC5926" w:rsidRDefault="008A5405" w:rsidP="008A5405">
      <w:pPr>
        <w:pStyle w:val="Titre2"/>
      </w:pPr>
      <w:bookmarkStart w:id="12" w:name="_laclma28wxrp" w:colFirst="0" w:colLast="0"/>
      <w:bookmarkEnd w:id="12"/>
      <w:r>
        <w:t>Biais de classement ou biais d’information</w:t>
      </w:r>
    </w:p>
    <w:p w14:paraId="378FB9F7" w14:textId="77777777" w:rsidR="00AC5926" w:rsidRDefault="008A5405">
      <w:pPr>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Erreur de classement de l’exposition ou de la maladie (</w:t>
      </w:r>
      <w:r>
        <w:rPr>
          <w:rFonts w:ascii="Times New Roman" w:eastAsia="Times New Roman" w:hAnsi="Times New Roman" w:cs="Times New Roman"/>
          <w:i/>
          <w:sz w:val="28"/>
          <w:szCs w:val="28"/>
        </w:rPr>
        <w:t>malade considéré comme non malade)</w:t>
      </w:r>
    </w:p>
    <w:p w14:paraId="1FDE15F2" w14:textId="77777777" w:rsidR="00AC5926" w:rsidRDefault="008A5405" w:rsidP="008A5405">
      <w:pPr>
        <w:pStyle w:val="Titre2"/>
      </w:pPr>
      <w:r>
        <w:t>2 types de biais de classement :</w:t>
      </w:r>
    </w:p>
    <w:p w14:paraId="25FC96E5" w14:textId="77777777" w:rsidR="00AC5926" w:rsidRDefault="008A5405">
      <w:pPr>
        <w:numPr>
          <w:ilvl w:val="1"/>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Biais de classement différentiel</w:t>
      </w:r>
    </w:p>
    <w:p w14:paraId="66358896" w14:textId="77777777" w:rsidR="00AC5926" w:rsidRDefault="008A5405">
      <w:pPr>
        <w:numPr>
          <w:ilvl w:val="1"/>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Biais de classement non différentiel</w:t>
      </w:r>
      <w:r>
        <w:rPr>
          <w:rFonts w:ascii="Times New Roman" w:eastAsia="Times New Roman" w:hAnsi="Times New Roman" w:cs="Times New Roman"/>
          <w:sz w:val="28"/>
          <w:szCs w:val="28"/>
        </w:rPr>
        <w:br/>
      </w:r>
    </w:p>
    <w:p w14:paraId="2EC5C194" w14:textId="77777777" w:rsidR="00AC5926" w:rsidRDefault="008A5405" w:rsidP="008A5405">
      <w:pPr>
        <w:pStyle w:val="Titre2"/>
      </w:pPr>
      <w:r>
        <w:t>Biais de classement différentiel</w:t>
      </w:r>
    </w:p>
    <w:p w14:paraId="73A0117F" w14:textId="77777777" w:rsidR="00AC5926" w:rsidRDefault="008A5405">
      <w:pPr>
        <w:numPr>
          <w:ilvl w:val="1"/>
          <w:numId w:val="11"/>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Affecte directement les exposés et les non exposés (cas et témoins) dans l’appréciation de la maladie (exposition) </w:t>
      </w:r>
    </w:p>
    <w:p w14:paraId="5ECC20F5" w14:textId="77777777" w:rsidR="00AC5926" w:rsidRDefault="00AC5926">
      <w:pPr>
        <w:spacing w:after="160"/>
        <w:ind w:left="1440"/>
        <w:rPr>
          <w:rFonts w:ascii="Times New Roman" w:eastAsia="Times New Roman" w:hAnsi="Times New Roman" w:cs="Times New Roman"/>
          <w:sz w:val="28"/>
          <w:szCs w:val="28"/>
        </w:rPr>
      </w:pPr>
    </w:p>
    <w:p w14:paraId="58193F87" w14:textId="77777777" w:rsidR="00AC5926" w:rsidRDefault="008A5405">
      <w:pPr>
        <w:numPr>
          <w:ilvl w:val="1"/>
          <w:numId w:val="11"/>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Risque de fausse association, surestimation en générale</w:t>
      </w:r>
    </w:p>
    <w:p w14:paraId="5BA706CB" w14:textId="77777777" w:rsidR="00AC5926" w:rsidRDefault="00AC5926">
      <w:pPr>
        <w:spacing w:after="160"/>
        <w:ind w:left="2160"/>
        <w:rPr>
          <w:rFonts w:ascii="Times New Roman" w:eastAsia="Times New Roman" w:hAnsi="Times New Roman" w:cs="Times New Roman"/>
          <w:sz w:val="28"/>
          <w:szCs w:val="28"/>
        </w:rPr>
      </w:pPr>
    </w:p>
    <w:p w14:paraId="31BC710A" w14:textId="77777777" w:rsidR="00AC5926" w:rsidRDefault="008A5405">
      <w:pPr>
        <w:numPr>
          <w:ilvl w:val="1"/>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Recherche d’exposition chez les malades avec plus d’insistance que chez les non malades -&gt; surestimation de OR/RR</w:t>
      </w:r>
    </w:p>
    <w:p w14:paraId="25495790" w14:textId="77777777" w:rsidR="00AC5926" w:rsidRDefault="008A5405">
      <w:pPr>
        <w:numPr>
          <w:ilvl w:val="1"/>
          <w:numId w:val="11"/>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Suivi plus soigneuse des exposés par crainte des effets de l’exposition -&gt; </w:t>
      </w:r>
      <w:proofErr w:type="spellStart"/>
      <w:r>
        <w:rPr>
          <w:rFonts w:ascii="Times New Roman" w:eastAsia="Times New Roman" w:hAnsi="Times New Roman" w:cs="Times New Roman"/>
          <w:sz w:val="28"/>
          <w:szCs w:val="28"/>
        </w:rPr>
        <w:t>sous estimation</w:t>
      </w:r>
      <w:proofErr w:type="spellEnd"/>
      <w:r>
        <w:rPr>
          <w:rFonts w:ascii="Times New Roman" w:eastAsia="Times New Roman" w:hAnsi="Times New Roman" w:cs="Times New Roman"/>
          <w:sz w:val="28"/>
          <w:szCs w:val="28"/>
        </w:rPr>
        <w:t xml:space="preserve"> du nombre de cas chez les non exposés -&gt; surestimation de OR/RR</w:t>
      </w:r>
    </w:p>
    <w:p w14:paraId="09B0FB5E" w14:textId="77777777" w:rsidR="00AC5926" w:rsidRDefault="00AC5926">
      <w:pPr>
        <w:spacing w:after="160"/>
        <w:rPr>
          <w:rFonts w:ascii="Times New Roman" w:eastAsia="Times New Roman" w:hAnsi="Times New Roman" w:cs="Times New Roman"/>
          <w:sz w:val="28"/>
          <w:szCs w:val="28"/>
        </w:rPr>
      </w:pPr>
    </w:p>
    <w:p w14:paraId="65A806A2" w14:textId="77777777" w:rsidR="00AC5926" w:rsidRDefault="008A5405" w:rsidP="008A5405">
      <w:pPr>
        <w:pStyle w:val="Titre2"/>
      </w:pPr>
      <w:r>
        <w:t>Biais de classement non différentiel</w:t>
      </w:r>
    </w:p>
    <w:p w14:paraId="7A136B9C" w14:textId="77777777" w:rsidR="00AC5926" w:rsidRDefault="008A5405">
      <w:pPr>
        <w:numPr>
          <w:ilvl w:val="1"/>
          <w:numId w:val="15"/>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Affecte de la même façon les exposées et les non exposés dans l’appréciation de la maladie (erreur sur l’exposition indépendamment de la maladie)</w:t>
      </w:r>
    </w:p>
    <w:p w14:paraId="56143C0D" w14:textId="77777777" w:rsidR="00AC5926" w:rsidRDefault="00AC5926">
      <w:pPr>
        <w:spacing w:after="160"/>
        <w:ind w:left="1440"/>
        <w:rPr>
          <w:rFonts w:ascii="Times New Roman" w:eastAsia="Times New Roman" w:hAnsi="Times New Roman" w:cs="Times New Roman"/>
          <w:sz w:val="28"/>
          <w:szCs w:val="28"/>
        </w:rPr>
      </w:pPr>
    </w:p>
    <w:p w14:paraId="6150ACA4" w14:textId="77777777" w:rsidR="00AC5926" w:rsidRDefault="008A5405">
      <w:pPr>
        <w:numPr>
          <w:ilvl w:val="1"/>
          <w:numId w:val="15"/>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Association garde le même sens mais d’amplitude moindre (</w:t>
      </w:r>
      <w:proofErr w:type="spellStart"/>
      <w:r>
        <w:rPr>
          <w:rFonts w:ascii="Times New Roman" w:eastAsia="Times New Roman" w:hAnsi="Times New Roman" w:cs="Times New Roman"/>
          <w:sz w:val="28"/>
          <w:szCs w:val="28"/>
        </w:rPr>
        <w:t>sous estimation</w:t>
      </w:r>
      <w:proofErr w:type="spellEnd"/>
      <w:r>
        <w:rPr>
          <w:rFonts w:ascii="Times New Roman" w:eastAsia="Times New Roman" w:hAnsi="Times New Roman" w:cs="Times New Roman"/>
          <w:sz w:val="28"/>
          <w:szCs w:val="28"/>
        </w:rPr>
        <w:t>), peut aller jusqu’à l’absence d’association</w:t>
      </w:r>
      <w:r>
        <w:rPr>
          <w:rFonts w:ascii="Times New Roman" w:eastAsia="Times New Roman" w:hAnsi="Times New Roman" w:cs="Times New Roman"/>
          <w:sz w:val="28"/>
          <w:szCs w:val="28"/>
        </w:rPr>
        <w:br/>
      </w:r>
    </w:p>
    <w:p w14:paraId="6EFBFB53" w14:textId="77777777" w:rsidR="00AC5926" w:rsidRDefault="008A5405">
      <w:pPr>
        <w:numPr>
          <w:ilvl w:val="1"/>
          <w:numId w:val="15"/>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Erreur de mesure : défaillance test/outils de diagnostic (tensiomètre avec niveau de batterie faible)</w:t>
      </w:r>
    </w:p>
    <w:p w14:paraId="53E580A2" w14:textId="77777777" w:rsidR="00AC5926" w:rsidRDefault="00AC5926">
      <w:pPr>
        <w:spacing w:after="160"/>
        <w:ind w:left="1440"/>
        <w:rPr>
          <w:rFonts w:ascii="Times New Roman" w:eastAsia="Times New Roman" w:hAnsi="Times New Roman" w:cs="Times New Roman"/>
          <w:sz w:val="28"/>
          <w:szCs w:val="28"/>
        </w:rPr>
      </w:pPr>
    </w:p>
    <w:p w14:paraId="2684ACD5" w14:textId="77777777" w:rsidR="00AC5926" w:rsidRDefault="008A5405" w:rsidP="008A5405">
      <w:pPr>
        <w:pStyle w:val="Titre2"/>
      </w:pPr>
      <w:bookmarkStart w:id="13" w:name="_umc3bdi346tm" w:colFirst="0" w:colLast="0"/>
      <w:bookmarkEnd w:id="13"/>
      <w:r>
        <w:t>Biais de confusion</w:t>
      </w:r>
    </w:p>
    <w:p w14:paraId="4AE72306" w14:textId="77777777" w:rsidR="00AC5926" w:rsidRDefault="008A5405">
      <w:pPr>
        <w:numPr>
          <w:ilvl w:val="1"/>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Existence d’un troisième facteur dit “facteur de confusion” (</w:t>
      </w:r>
      <w:r>
        <w:rPr>
          <w:rFonts w:ascii="Times New Roman" w:eastAsia="Times New Roman" w:hAnsi="Times New Roman" w:cs="Times New Roman"/>
          <w:i/>
          <w:sz w:val="28"/>
          <w:szCs w:val="28"/>
        </w:rPr>
        <w:t>entre le facteur d’exposition et la survenue de la maladie)</w:t>
      </w:r>
      <w:r>
        <w:rPr>
          <w:rFonts w:ascii="Times New Roman" w:eastAsia="Times New Roman" w:hAnsi="Times New Roman" w:cs="Times New Roman"/>
          <w:sz w:val="28"/>
          <w:szCs w:val="28"/>
        </w:rPr>
        <w:t xml:space="preserve"> qui peut créer une association qui n’existe pas </w:t>
      </w:r>
      <w:proofErr w:type="gramStart"/>
      <w:r>
        <w:rPr>
          <w:rFonts w:ascii="Times New Roman" w:eastAsia="Times New Roman" w:hAnsi="Times New Roman" w:cs="Times New Roman"/>
          <w:sz w:val="28"/>
          <w:szCs w:val="28"/>
        </w:rPr>
        <w:t>ou</w:t>
      </w:r>
      <w:proofErr w:type="gramEnd"/>
      <w:r>
        <w:rPr>
          <w:rFonts w:ascii="Times New Roman" w:eastAsia="Times New Roman" w:hAnsi="Times New Roman" w:cs="Times New Roman"/>
          <w:sz w:val="28"/>
          <w:szCs w:val="28"/>
        </w:rPr>
        <w:t xml:space="preserve"> masquer une association qui existe</w:t>
      </w:r>
    </w:p>
    <w:p w14:paraId="20376723" w14:textId="77777777" w:rsidR="00AC5926" w:rsidRDefault="008A5405">
      <w:pPr>
        <w:numPr>
          <w:ilvl w:val="1"/>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Associé simultanément à l’exposition et à la maladie</w:t>
      </w:r>
    </w:p>
    <w:p w14:paraId="087C67E9" w14:textId="77777777" w:rsidR="00AC5926" w:rsidRDefault="008A5405">
      <w:pPr>
        <w:numPr>
          <w:ilvl w:val="1"/>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Ne se trouve pas dans la chaîne causale </w:t>
      </w:r>
      <w:r>
        <w:rPr>
          <w:rFonts w:ascii="Times New Roman" w:eastAsia="Times New Roman" w:hAnsi="Times New Roman" w:cs="Times New Roman"/>
          <w:sz w:val="28"/>
          <w:szCs w:val="28"/>
        </w:rPr>
        <w:br/>
      </w:r>
    </w:p>
    <w:p w14:paraId="27AAFFFB" w14:textId="77777777" w:rsidR="00AC5926" w:rsidRDefault="008A5405">
      <w:pPr>
        <w:numPr>
          <w:ilvl w:val="1"/>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Exemple : </w:t>
      </w:r>
    </w:p>
    <w:p w14:paraId="662B0BB6" w14:textId="77777777" w:rsidR="00AC5926" w:rsidRDefault="008A5405">
      <w:pPr>
        <w:numPr>
          <w:ilvl w:val="2"/>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Une association entre café et cancer du poumon a toutes les chances d’être due au fait que :</w:t>
      </w:r>
    </w:p>
    <w:p w14:paraId="1C6D228E" w14:textId="77777777" w:rsidR="00AC5926" w:rsidRDefault="008A5405">
      <w:pPr>
        <w:numPr>
          <w:ilvl w:val="3"/>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Les personnes qui boivent du café ont plus tendance à fumer que les personnes qui n’en boivent pas</w:t>
      </w:r>
    </w:p>
    <w:p w14:paraId="21D36878" w14:textId="77777777" w:rsidR="00AC5926" w:rsidRDefault="008A5405">
      <w:pPr>
        <w:numPr>
          <w:ilvl w:val="3"/>
          <w:numId w:val="8"/>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Les fumeurs sont plus à risque de développer un cancer du poumon.</w:t>
      </w:r>
    </w:p>
    <w:p w14:paraId="465B96FD" w14:textId="77777777" w:rsidR="00AC5926" w:rsidRDefault="00AC5926">
      <w:pPr>
        <w:spacing w:after="160"/>
        <w:rPr>
          <w:rFonts w:ascii="Times New Roman" w:eastAsia="Times New Roman" w:hAnsi="Times New Roman" w:cs="Times New Roman"/>
          <w:sz w:val="28"/>
          <w:szCs w:val="28"/>
        </w:rPr>
      </w:pPr>
    </w:p>
    <w:p w14:paraId="42BC481E" w14:textId="77777777" w:rsidR="00AC5926" w:rsidRDefault="008A5405">
      <w:pPr>
        <w:spacing w:after="16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118872" distR="118872" wp14:anchorId="7D3A30AD" wp14:editId="3C6A4A78">
            <wp:extent cx="5760720" cy="43103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60720" cy="4310380"/>
                    </a:xfrm>
                    <a:prstGeom prst="rect">
                      <a:avLst/>
                    </a:prstGeom>
                    <a:ln/>
                  </pic:spPr>
                </pic:pic>
              </a:graphicData>
            </a:graphic>
          </wp:inline>
        </w:drawing>
      </w:r>
    </w:p>
    <w:p w14:paraId="4C27896E" w14:textId="77777777" w:rsidR="00AC5926" w:rsidRDefault="00AC5926">
      <w:pPr>
        <w:spacing w:after="160"/>
        <w:rPr>
          <w:rFonts w:ascii="Times New Roman" w:eastAsia="Times New Roman" w:hAnsi="Times New Roman" w:cs="Times New Roman"/>
          <w:sz w:val="28"/>
          <w:szCs w:val="28"/>
        </w:rPr>
      </w:pPr>
    </w:p>
    <w:p w14:paraId="23D01555" w14:textId="77777777" w:rsidR="00AC5926" w:rsidRDefault="008A5405">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L’hypercholestérolémie n’est pas un facteur de confusion dans l’étude de l’association entre nourriture riche en graisse et survenue d’infarctus de myocarde car elle se trouve dans la chaîne causale</w:t>
      </w:r>
    </w:p>
    <w:p w14:paraId="00CF2597" w14:textId="77777777" w:rsidR="00AC5926" w:rsidRDefault="008A5405">
      <w:pPr>
        <w:numPr>
          <w:ilvl w:val="0"/>
          <w:numId w:val="3"/>
        </w:numPr>
        <w:spacing w:after="160"/>
        <w:rPr>
          <w:rFonts w:ascii="Times New Roman" w:eastAsia="Times New Roman" w:hAnsi="Times New Roman" w:cs="Times New Roman"/>
          <w:sz w:val="28"/>
          <w:szCs w:val="28"/>
        </w:rPr>
      </w:pPr>
      <w:r>
        <w:rPr>
          <w:rFonts w:ascii="Times New Roman" w:eastAsia="Times New Roman" w:hAnsi="Times New Roman" w:cs="Times New Roman"/>
          <w:b/>
          <w:sz w:val="28"/>
          <w:szCs w:val="28"/>
        </w:rPr>
        <w:t>Nourriture riche en graisses -&gt; Hypercholestérolémie -&gt; Infarctus</w:t>
      </w:r>
    </w:p>
    <w:p w14:paraId="25E1BED0" w14:textId="77777777" w:rsidR="00AC5926" w:rsidRDefault="00AC5926">
      <w:pPr>
        <w:spacing w:after="160"/>
        <w:rPr>
          <w:rFonts w:ascii="Times New Roman" w:eastAsia="Times New Roman" w:hAnsi="Times New Roman" w:cs="Times New Roman"/>
          <w:sz w:val="28"/>
          <w:szCs w:val="28"/>
        </w:rPr>
      </w:pPr>
    </w:p>
    <w:p w14:paraId="60620ACD" w14:textId="77777777" w:rsidR="00AC5926" w:rsidRDefault="008A5405" w:rsidP="008A5405">
      <w:pPr>
        <w:pStyle w:val="Titre1"/>
      </w:pPr>
      <w:bookmarkStart w:id="14" w:name="_1es77dlwsc72" w:colFirst="0" w:colLast="0"/>
      <w:bookmarkEnd w:id="14"/>
      <w:r>
        <w:t>CONCLUSION</w:t>
      </w:r>
    </w:p>
    <w:p w14:paraId="2C454CA1" w14:textId="77777777" w:rsidR="00AC5926" w:rsidRDefault="008A5405">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La relation causale entre un facteur d’exposition et la survenue d’une maladie est difficile à établir</w:t>
      </w:r>
    </w:p>
    <w:p w14:paraId="799978BA" w14:textId="77777777" w:rsidR="00AC5926" w:rsidRDefault="008A5405">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Prise en compte des critères de causalité</w:t>
      </w:r>
    </w:p>
    <w:p w14:paraId="0FB97946" w14:textId="77777777" w:rsidR="00AC5926" w:rsidRDefault="008A5405">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t>Contrôle les biais -&gt; Validité de l’étude</w:t>
      </w:r>
    </w:p>
    <w:p w14:paraId="596E3617" w14:textId="77777777" w:rsidR="00AC5926" w:rsidRDefault="008A5405">
      <w:pPr>
        <w:numPr>
          <w:ilvl w:val="0"/>
          <w:numId w:val="7"/>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Biais de sélection et d’information : contrôle avant le début de l’étude</w:t>
      </w:r>
    </w:p>
    <w:p w14:paraId="741DEB04" w14:textId="77777777" w:rsidR="00AC5926" w:rsidRDefault="008A5405">
      <w:pPr>
        <w:numPr>
          <w:ilvl w:val="0"/>
          <w:numId w:val="7"/>
        </w:numPr>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Biais de confusion : peut être contrôlé avant le début de l’étude et au moment de l’analyse statistique</w:t>
      </w:r>
    </w:p>
    <w:p w14:paraId="3ACDF06A" w14:textId="77777777" w:rsidR="00AC5926" w:rsidRDefault="00AC5926">
      <w:pPr>
        <w:rPr>
          <w:rFonts w:ascii="Times New Roman" w:eastAsia="Times New Roman" w:hAnsi="Times New Roman" w:cs="Times New Roman"/>
          <w:sz w:val="28"/>
          <w:szCs w:val="28"/>
        </w:rPr>
      </w:pPr>
    </w:p>
    <w:p w14:paraId="098CE502" w14:textId="77777777" w:rsidR="00AC5926" w:rsidRDefault="00AC5926">
      <w:pPr>
        <w:rPr>
          <w:rFonts w:ascii="Times New Roman" w:eastAsia="Times New Roman" w:hAnsi="Times New Roman" w:cs="Times New Roman"/>
          <w:b/>
          <w:i/>
          <w:sz w:val="28"/>
          <w:szCs w:val="28"/>
        </w:rPr>
      </w:pPr>
    </w:p>
    <w:sectPr w:rsidR="00AC592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793B"/>
    <w:multiLevelType w:val="multilevel"/>
    <w:tmpl w:val="4CCA3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1836F9"/>
    <w:multiLevelType w:val="multilevel"/>
    <w:tmpl w:val="5E184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BD696E"/>
    <w:multiLevelType w:val="multilevel"/>
    <w:tmpl w:val="FBB60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2A3D19"/>
    <w:multiLevelType w:val="multilevel"/>
    <w:tmpl w:val="4ED46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E350B7"/>
    <w:multiLevelType w:val="multilevel"/>
    <w:tmpl w:val="7514F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D80204"/>
    <w:multiLevelType w:val="multilevel"/>
    <w:tmpl w:val="F58EE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FA38EB"/>
    <w:multiLevelType w:val="multilevel"/>
    <w:tmpl w:val="B5109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F04763"/>
    <w:multiLevelType w:val="multilevel"/>
    <w:tmpl w:val="CD5CE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F7A7683"/>
    <w:multiLevelType w:val="multilevel"/>
    <w:tmpl w:val="8A5C8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73A4E61"/>
    <w:multiLevelType w:val="multilevel"/>
    <w:tmpl w:val="58B0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8BF1583"/>
    <w:multiLevelType w:val="multilevel"/>
    <w:tmpl w:val="0AB63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9877193"/>
    <w:multiLevelType w:val="multilevel"/>
    <w:tmpl w:val="2000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2" w15:restartNumberingAfterBreak="0">
    <w:nsid w:val="4D2F3A0B"/>
    <w:multiLevelType w:val="multilevel"/>
    <w:tmpl w:val="D6F85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20E18D4"/>
    <w:multiLevelType w:val="multilevel"/>
    <w:tmpl w:val="802CA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2560470"/>
    <w:multiLevelType w:val="multilevel"/>
    <w:tmpl w:val="C8E46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7C27520"/>
    <w:multiLevelType w:val="multilevel"/>
    <w:tmpl w:val="2BCA5B4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5E6E6729"/>
    <w:multiLevelType w:val="multilevel"/>
    <w:tmpl w:val="B31A5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3B8612F"/>
    <w:multiLevelType w:val="multilevel"/>
    <w:tmpl w:val="47AA9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32F34CD"/>
    <w:multiLevelType w:val="multilevel"/>
    <w:tmpl w:val="B88A0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509187C"/>
    <w:multiLevelType w:val="multilevel"/>
    <w:tmpl w:val="F9B68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9"/>
  </w:num>
  <w:num w:numId="2">
    <w:abstractNumId w:val="4"/>
  </w:num>
  <w:num w:numId="3">
    <w:abstractNumId w:val="15"/>
  </w:num>
  <w:num w:numId="4">
    <w:abstractNumId w:val="18"/>
  </w:num>
  <w:num w:numId="5">
    <w:abstractNumId w:val="12"/>
  </w:num>
  <w:num w:numId="6">
    <w:abstractNumId w:val="14"/>
  </w:num>
  <w:num w:numId="7">
    <w:abstractNumId w:val="8"/>
  </w:num>
  <w:num w:numId="8">
    <w:abstractNumId w:val="3"/>
  </w:num>
  <w:num w:numId="9">
    <w:abstractNumId w:val="16"/>
  </w:num>
  <w:num w:numId="10">
    <w:abstractNumId w:val="1"/>
  </w:num>
  <w:num w:numId="11">
    <w:abstractNumId w:val="7"/>
  </w:num>
  <w:num w:numId="12">
    <w:abstractNumId w:val="10"/>
  </w:num>
  <w:num w:numId="13">
    <w:abstractNumId w:val="9"/>
  </w:num>
  <w:num w:numId="14">
    <w:abstractNumId w:val="13"/>
  </w:num>
  <w:num w:numId="15">
    <w:abstractNumId w:val="0"/>
  </w:num>
  <w:num w:numId="16">
    <w:abstractNumId w:val="17"/>
  </w:num>
  <w:num w:numId="17">
    <w:abstractNumId w:val="5"/>
  </w:num>
  <w:num w:numId="18">
    <w:abstractNumId w:val="6"/>
  </w:num>
  <w:num w:numId="19">
    <w:abstractNumId w:val="2"/>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926"/>
    <w:rsid w:val="006D4CD9"/>
    <w:rsid w:val="008A5405"/>
    <w:rsid w:val="00AC592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98012"/>
  <w15:docId w15:val="{539BA5D2-0229-4A00-8B43-0FDD5BFD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numPr>
        <w:numId w:val="20"/>
      </w:numPr>
      <w:spacing w:before="400" w:after="120"/>
      <w:outlineLvl w:val="0"/>
    </w:pPr>
    <w:rPr>
      <w:sz w:val="40"/>
      <w:szCs w:val="40"/>
    </w:rPr>
  </w:style>
  <w:style w:type="paragraph" w:styleId="Titre2">
    <w:name w:val="heading 2"/>
    <w:basedOn w:val="Normal"/>
    <w:next w:val="Normal"/>
    <w:uiPriority w:val="9"/>
    <w:unhideWhenUsed/>
    <w:qFormat/>
    <w:pPr>
      <w:keepNext/>
      <w:keepLines/>
      <w:numPr>
        <w:ilvl w:val="1"/>
        <w:numId w:val="20"/>
      </w:numPr>
      <w:spacing w:before="360" w:after="120"/>
      <w:outlineLvl w:val="1"/>
    </w:pPr>
    <w:rPr>
      <w:sz w:val="32"/>
      <w:szCs w:val="32"/>
    </w:rPr>
  </w:style>
  <w:style w:type="paragraph" w:styleId="Titre3">
    <w:name w:val="heading 3"/>
    <w:basedOn w:val="Normal"/>
    <w:next w:val="Normal"/>
    <w:uiPriority w:val="9"/>
    <w:unhideWhenUsed/>
    <w:qFormat/>
    <w:pPr>
      <w:keepNext/>
      <w:keepLines/>
      <w:numPr>
        <w:ilvl w:val="2"/>
        <w:numId w:val="20"/>
      </w:numPr>
      <w:spacing w:before="320" w:after="80"/>
      <w:outlineLvl w:val="2"/>
    </w:pPr>
    <w:rPr>
      <w:color w:val="434343"/>
      <w:sz w:val="28"/>
      <w:szCs w:val="28"/>
    </w:rPr>
  </w:style>
  <w:style w:type="paragraph" w:styleId="Titre4">
    <w:name w:val="heading 4"/>
    <w:basedOn w:val="Normal"/>
    <w:next w:val="Normal"/>
    <w:uiPriority w:val="9"/>
    <w:unhideWhenUsed/>
    <w:qFormat/>
    <w:pPr>
      <w:keepNext/>
      <w:keepLines/>
      <w:numPr>
        <w:ilvl w:val="3"/>
        <w:numId w:val="20"/>
      </w:numPr>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numPr>
        <w:ilvl w:val="4"/>
        <w:numId w:val="20"/>
      </w:numPr>
      <w:spacing w:before="240" w:after="80"/>
      <w:outlineLvl w:val="4"/>
    </w:pPr>
    <w:rPr>
      <w:color w:val="666666"/>
    </w:rPr>
  </w:style>
  <w:style w:type="paragraph" w:styleId="Titre6">
    <w:name w:val="heading 6"/>
    <w:basedOn w:val="Normal"/>
    <w:next w:val="Normal"/>
    <w:uiPriority w:val="9"/>
    <w:semiHidden/>
    <w:unhideWhenUsed/>
    <w:qFormat/>
    <w:pPr>
      <w:keepNext/>
      <w:keepLines/>
      <w:numPr>
        <w:ilvl w:val="5"/>
        <w:numId w:val="20"/>
      </w:numPr>
      <w:spacing w:before="240" w:after="80"/>
      <w:outlineLvl w:val="5"/>
    </w:pPr>
    <w:rPr>
      <w:i/>
      <w:color w:val="666666"/>
    </w:rPr>
  </w:style>
  <w:style w:type="paragraph" w:styleId="Titre7">
    <w:name w:val="heading 7"/>
    <w:basedOn w:val="Normal"/>
    <w:next w:val="Normal"/>
    <w:link w:val="Titre7Car"/>
    <w:uiPriority w:val="9"/>
    <w:semiHidden/>
    <w:unhideWhenUsed/>
    <w:qFormat/>
    <w:rsid w:val="006D4CD9"/>
    <w:pPr>
      <w:keepNext/>
      <w:keepLines/>
      <w:numPr>
        <w:ilvl w:val="6"/>
        <w:numId w:val="20"/>
      </w:numPr>
      <w:spacing w:before="4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uiPriority w:val="9"/>
    <w:semiHidden/>
    <w:unhideWhenUsed/>
    <w:qFormat/>
    <w:rsid w:val="006D4CD9"/>
    <w:pPr>
      <w:keepNext/>
      <w:keepLines/>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6D4CD9"/>
    <w:pPr>
      <w:keepNext/>
      <w:keepLines/>
      <w:numPr>
        <w:ilvl w:val="8"/>
        <w:numId w:val="2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character" w:customStyle="1" w:styleId="Titre7Car">
    <w:name w:val="Titre 7 Car"/>
    <w:basedOn w:val="Policepardfaut"/>
    <w:link w:val="Titre7"/>
    <w:uiPriority w:val="9"/>
    <w:semiHidden/>
    <w:rsid w:val="006D4CD9"/>
    <w:rPr>
      <w:rFonts w:asciiTheme="majorHAnsi" w:eastAsiaTheme="majorEastAsia" w:hAnsiTheme="majorHAnsi" w:cstheme="majorBidi"/>
      <w:i/>
      <w:iCs/>
      <w:color w:val="243F60" w:themeColor="accent1" w:themeShade="7F"/>
    </w:rPr>
  </w:style>
  <w:style w:type="character" w:customStyle="1" w:styleId="Titre8Car">
    <w:name w:val="Titre 8 Car"/>
    <w:basedOn w:val="Policepardfaut"/>
    <w:link w:val="Titre8"/>
    <w:uiPriority w:val="9"/>
    <w:semiHidden/>
    <w:rsid w:val="006D4CD9"/>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6D4CD9"/>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944</Words>
  <Characters>5386</Characters>
  <Application>Microsoft Office Word</Application>
  <DocSecurity>0</DocSecurity>
  <Lines>44</Lines>
  <Paragraphs>12</Paragraphs>
  <ScaleCrop>false</ScaleCrop>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ZICO</cp:lastModifiedBy>
  <cp:revision>3</cp:revision>
  <dcterms:created xsi:type="dcterms:W3CDTF">2026-07-18T07:44:00Z</dcterms:created>
  <dcterms:modified xsi:type="dcterms:W3CDTF">2026-07-18T09:19:00Z</dcterms:modified>
</cp:coreProperties>
</file>