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010CC" w14:textId="7EDC7631" w:rsidR="00B1781F" w:rsidRDefault="00B1781F" w:rsidP="00B1781F">
      <w:pPr>
        <w:pStyle w:val="Titre1"/>
      </w:pPr>
      <w:r>
        <w:t>Otite externe</w:t>
      </w:r>
      <w:r w:rsidR="00FE2C1B">
        <w:t xml:space="preserve"> (</w:t>
      </w:r>
      <w:r w:rsidR="00C73400">
        <w:t>Q</w:t>
      </w:r>
      <w:r w:rsidR="00FE2C1B">
        <w:t>E)</w:t>
      </w:r>
    </w:p>
    <w:p w14:paraId="7AE7991F" w14:textId="033AE7C6" w:rsidR="00B1781F" w:rsidRDefault="00392FC9" w:rsidP="00B1781F">
      <w:r>
        <w:t xml:space="preserve">Dr </w:t>
      </w:r>
      <w:r w:rsidR="00BD76B6">
        <w:t>Ginnot</w:t>
      </w:r>
    </w:p>
    <w:p w14:paraId="32B61936" w14:textId="52D6C514" w:rsidR="00392FC9" w:rsidRDefault="00392FC9" w:rsidP="00392FC9">
      <w:pPr>
        <w:pStyle w:val="Titre2"/>
      </w:pPr>
      <w:r>
        <w:t>Objectifs</w:t>
      </w:r>
    </w:p>
    <w:p w14:paraId="2157528C" w14:textId="0A6E1C21" w:rsidR="00392FC9" w:rsidRDefault="00731E99" w:rsidP="00392FC9">
      <w:r>
        <w:t>Définir</w:t>
      </w:r>
    </w:p>
    <w:p w14:paraId="788FA5C2" w14:textId="6FF5F8E0" w:rsidR="00731E99" w:rsidRDefault="00731E99" w:rsidP="00392FC9">
      <w:r>
        <w:t>Diagnostiquer</w:t>
      </w:r>
    </w:p>
    <w:p w14:paraId="28A83780" w14:textId="2345B09A" w:rsidR="00731E99" w:rsidRDefault="00731E99" w:rsidP="00392FC9">
      <w:r>
        <w:t xml:space="preserve">Citers les déterminants </w:t>
      </w:r>
    </w:p>
    <w:p w14:paraId="4394CAE7" w14:textId="58B9B98E" w:rsidR="00731E99" w:rsidRDefault="00731E99" w:rsidP="00392FC9">
      <w:r>
        <w:t>Décrire les stratégies thérapeutiques</w:t>
      </w:r>
    </w:p>
    <w:p w14:paraId="6810578C" w14:textId="2FEB3F69" w:rsidR="00731E99" w:rsidRDefault="00731E99" w:rsidP="00731E99">
      <w:pPr>
        <w:pStyle w:val="Titre2"/>
      </w:pPr>
      <w:r>
        <w:t xml:space="preserve">Introduction </w:t>
      </w:r>
    </w:p>
    <w:p w14:paraId="6EEC7E60" w14:textId="08C10BE8" w:rsidR="00731E99" w:rsidRDefault="003F68C0" w:rsidP="00731E99">
      <w:r>
        <w:t>OE : inflammation localisée ou diffuse de la peau du méat acoustique externe d’origine bactérienne, mycosique ou virale : perturbation du rôle protecteur de cérumen</w:t>
      </w:r>
    </w:p>
    <w:p w14:paraId="3AD60D69" w14:textId="46AA1C66" w:rsidR="003F68C0" w:rsidRDefault="003F68C0" w:rsidP="00731E99">
      <w:r>
        <w:t>FRDR : lésion cutané MAE (grattage) ; affection pouvant être prévenue</w:t>
      </w:r>
    </w:p>
    <w:p w14:paraId="07105A96" w14:textId="04B7532F" w:rsidR="003F68C0" w:rsidRDefault="003F68C0" w:rsidP="00731E99">
      <w:r>
        <w:t>Pathologie fréquente : 20 – 35% des consultation d’urgence</w:t>
      </w:r>
    </w:p>
    <w:p w14:paraId="3457A6F0" w14:textId="48A8C6B0" w:rsidR="003F68C0" w:rsidRDefault="003F68C0" w:rsidP="00731E99">
      <w:r>
        <w:t>Diabétique : forme grave</w:t>
      </w:r>
    </w:p>
    <w:p w14:paraId="0DDB2EC0" w14:textId="1C5CA04D" w:rsidR="003F68C0" w:rsidRDefault="003F68C0" w:rsidP="00731E99">
      <w:r>
        <w:t>Affection survenant à tout âge</w:t>
      </w:r>
    </w:p>
    <w:p w14:paraId="6441DC3C" w14:textId="53A22CAF" w:rsidR="003F68C0" w:rsidRDefault="003F68C0" w:rsidP="00731E99">
      <w:r>
        <w:t xml:space="preserve">Le diagnostic est clinique </w:t>
      </w:r>
    </w:p>
    <w:p w14:paraId="0F9921C6" w14:textId="78F95E62" w:rsidR="008F5B14" w:rsidRDefault="008F5B14" w:rsidP="008F5B14">
      <w:pPr>
        <w:pStyle w:val="Titre2"/>
      </w:pPr>
      <w:r>
        <w:t>Diagnostic</w:t>
      </w:r>
    </w:p>
    <w:p w14:paraId="70BD76F7" w14:textId="49DAF7CC" w:rsidR="008F5B14" w:rsidRDefault="008F5B14" w:rsidP="008F5B14">
      <w:pPr>
        <w:pStyle w:val="Titre3"/>
      </w:pPr>
      <w:r>
        <w:t xml:space="preserve">Diagnostic positif </w:t>
      </w:r>
    </w:p>
    <w:p w14:paraId="70612BBE" w14:textId="15E3FA9B" w:rsidR="008F5B14" w:rsidRDefault="008F5B14" w:rsidP="008F5B14">
      <w:pPr>
        <w:pStyle w:val="Titre4"/>
      </w:pPr>
      <w:r>
        <w:t>TDD : OE aigue diffuse (dermo-épidermique aigue MAE)</w:t>
      </w:r>
    </w:p>
    <w:p w14:paraId="2BC26B31" w14:textId="396509D2" w:rsidR="008F5B14" w:rsidRDefault="008F5B14" w:rsidP="008F5B14">
      <w:r>
        <w:t>90% des otites externes, toute la peau du MAE est atteinte</w:t>
      </w:r>
    </w:p>
    <w:p w14:paraId="63823DA3" w14:textId="70FCE7BA" w:rsidR="008F5B14" w:rsidRDefault="008F5B14" w:rsidP="008F5B14">
      <w:r w:rsidRPr="00DC547C">
        <w:rPr>
          <w:b/>
          <w:bCs/>
        </w:rPr>
        <w:t>Otalgie</w:t>
      </w:r>
      <w:r>
        <w:t xml:space="preserve"> (93%) : intense, paroxystique, insomniante</w:t>
      </w:r>
    </w:p>
    <w:p w14:paraId="62D7EDEA" w14:textId="6AE464BE" w:rsidR="008F5B14" w:rsidRDefault="008F5B14" w:rsidP="00DC547C">
      <w:pPr>
        <w:numPr>
          <w:ilvl w:val="1"/>
          <w:numId w:val="8"/>
        </w:numPr>
      </w:pPr>
      <w:r>
        <w:t xml:space="preserve">Exacerbée : mastication, pression du tragus et traction de l’auricule </w:t>
      </w:r>
    </w:p>
    <w:p w14:paraId="12388F9B" w14:textId="6A493569" w:rsidR="008F5B14" w:rsidRDefault="008F5B14" w:rsidP="00DC547C">
      <w:pPr>
        <w:numPr>
          <w:ilvl w:val="1"/>
          <w:numId w:val="8"/>
        </w:numPr>
      </w:pPr>
      <w:r>
        <w:t>Irradiation : la tempe, la mandibule</w:t>
      </w:r>
    </w:p>
    <w:p w14:paraId="1592F7A8" w14:textId="0D93BCBD" w:rsidR="008F5B14" w:rsidRDefault="008F5B14" w:rsidP="008F5B14">
      <w:r w:rsidRPr="00DC547C">
        <w:rPr>
          <w:b/>
          <w:bCs/>
        </w:rPr>
        <w:t>Hypoacousie</w:t>
      </w:r>
      <w:r>
        <w:t> : ST sur sténose</w:t>
      </w:r>
    </w:p>
    <w:p w14:paraId="3364A54C" w14:textId="77777777" w:rsidR="008F5B14" w:rsidRDefault="008F5B14" w:rsidP="008F5B14">
      <w:r>
        <w:t>Sensation de plénitude, prurit</w:t>
      </w:r>
    </w:p>
    <w:p w14:paraId="77BC4E9C" w14:textId="5F1D33E3" w:rsidR="008F5B14" w:rsidRDefault="008F5B14" w:rsidP="008F5B14">
      <w:r w:rsidRPr="00DC547C">
        <w:rPr>
          <w:b/>
          <w:bCs/>
        </w:rPr>
        <w:t xml:space="preserve"> </w:t>
      </w:r>
      <w:r w:rsidR="00DC547C" w:rsidRPr="00DC547C">
        <w:rPr>
          <w:b/>
          <w:bCs/>
        </w:rPr>
        <w:t>L’otorrhée</w:t>
      </w:r>
      <w:r w:rsidR="00DC547C">
        <w:t> : claire puis purulente</w:t>
      </w:r>
    </w:p>
    <w:p w14:paraId="7E5C7D94" w14:textId="3EFB7154" w:rsidR="00DC547C" w:rsidRPr="00DC547C" w:rsidRDefault="00DC547C" w:rsidP="00DC547C">
      <w:pPr>
        <w:rPr>
          <w:b/>
          <w:bCs/>
        </w:rPr>
      </w:pPr>
      <w:r w:rsidRPr="00DC547C">
        <w:rPr>
          <w:b/>
          <w:bCs/>
        </w:rPr>
        <w:t>Acouphène</w:t>
      </w:r>
    </w:p>
    <w:p w14:paraId="486036E7" w14:textId="32B1C557" w:rsidR="00DC547C" w:rsidRDefault="00DC547C" w:rsidP="00DC547C">
      <w:r>
        <w:t>Examen : œdème péri-auriculaire, adénopathie cervicale</w:t>
      </w:r>
    </w:p>
    <w:p w14:paraId="74842831" w14:textId="79A17526" w:rsidR="00DC547C" w:rsidRDefault="00DC547C" w:rsidP="00DC547C">
      <w:r>
        <w:t>Otoscopie : difficile voire impossible : douleur / MAE sténosé</w:t>
      </w:r>
    </w:p>
    <w:p w14:paraId="42181F14" w14:textId="78C3B4F7" w:rsidR="00DC547C" w:rsidRDefault="00DC547C" w:rsidP="00DC547C">
      <w:pPr>
        <w:numPr>
          <w:ilvl w:val="1"/>
          <w:numId w:val="8"/>
        </w:numPr>
      </w:pPr>
      <w:r>
        <w:t xml:space="preserve">Tympan normal / myringite </w:t>
      </w:r>
    </w:p>
    <w:p w14:paraId="07025D72" w14:textId="39CA7CA8" w:rsidR="000B7AD3" w:rsidRDefault="000B7AD3" w:rsidP="000B7AD3">
      <w:pPr>
        <w:pStyle w:val="Titre4"/>
      </w:pPr>
      <w:r>
        <w:t>Formes cliniques : furoncle du MAE (OE localisée)</w:t>
      </w:r>
    </w:p>
    <w:p w14:paraId="281CFEDE" w14:textId="49609ECD" w:rsidR="000B7AD3" w:rsidRDefault="000B7AD3" w:rsidP="000B7AD3">
      <w:r>
        <w:t>Follicule aigue due à Staphylococcus aureus</w:t>
      </w:r>
    </w:p>
    <w:p w14:paraId="1AB900C8" w14:textId="3EF7D184" w:rsidR="000B7AD3" w:rsidRDefault="000B7AD3" w:rsidP="000B7AD3">
      <w:r>
        <w:t>L’otalgie : idem diffuse, calmée par ouverture du furoncle</w:t>
      </w:r>
    </w:p>
    <w:p w14:paraId="6DBD70F4" w14:textId="21FAA4C8" w:rsidR="000B7AD3" w:rsidRDefault="000B7AD3" w:rsidP="000B7AD3">
      <w:r>
        <w:t>L’otoscopie : tuméfaction érythémateuse limitée, centrée par un point blanc (début)</w:t>
      </w:r>
    </w:p>
    <w:p w14:paraId="35F2BCBC" w14:textId="50DF82C6" w:rsidR="000B7AD3" w:rsidRDefault="000B7AD3" w:rsidP="000B7AD3">
      <w:pPr>
        <w:numPr>
          <w:ilvl w:val="1"/>
          <w:numId w:val="8"/>
        </w:numPr>
      </w:pPr>
      <w:r>
        <w:lastRenderedPageBreak/>
        <w:t>Puis masse mollasse obstruant MAE</w:t>
      </w:r>
    </w:p>
    <w:p w14:paraId="71698E18" w14:textId="5DE6390C" w:rsidR="000B7AD3" w:rsidRDefault="000B7AD3" w:rsidP="00A429A7">
      <w:pPr>
        <w:numPr>
          <w:ilvl w:val="1"/>
          <w:numId w:val="8"/>
        </w:numPr>
      </w:pPr>
      <w:r>
        <w:t>Après rupture du furoncle : pus crémeux,</w:t>
      </w:r>
    </w:p>
    <w:p w14:paraId="64275A86" w14:textId="4601ABDD" w:rsidR="00A429A7" w:rsidRDefault="00A429A7" w:rsidP="00A429A7">
      <w:r>
        <w:t xml:space="preserve">Après </w:t>
      </w:r>
      <w:r w:rsidR="00934493">
        <w:t>nettoyage</w:t>
      </w:r>
      <w:r>
        <w:t xml:space="preserve"> du pus : cratère rouge</w:t>
      </w:r>
    </w:p>
    <w:p w14:paraId="797316B8" w14:textId="5ACCB957" w:rsidR="00A429A7" w:rsidRDefault="00A429A7" w:rsidP="00A429A7">
      <w:r>
        <w:t>Examen du cout : adén</w:t>
      </w:r>
      <w:r w:rsidR="00934493">
        <w:t>o</w:t>
      </w:r>
      <w:r>
        <w:t xml:space="preserve">pathie </w:t>
      </w:r>
      <w:r w:rsidR="00934493">
        <w:t>pré tragienne</w:t>
      </w:r>
      <w:r>
        <w:t xml:space="preserve">, </w:t>
      </w:r>
      <w:r w:rsidR="00934493">
        <w:t>mastoïdienne</w:t>
      </w:r>
      <w:r>
        <w:t>, sous digastrique</w:t>
      </w:r>
    </w:p>
    <w:p w14:paraId="6A76A060" w14:textId="75AC2126" w:rsidR="00A429A7" w:rsidRDefault="00A429A7" w:rsidP="00A429A7">
      <w:pPr>
        <w:pStyle w:val="Titre4"/>
      </w:pPr>
      <w:r>
        <w:t>Formes clinique OE maligne (OE nécrosante)</w:t>
      </w:r>
    </w:p>
    <w:p w14:paraId="678092AF" w14:textId="62465305" w:rsidR="00A429A7" w:rsidRDefault="00A429A7" w:rsidP="00A429A7">
      <w:r>
        <w:t>Infec</w:t>
      </w:r>
      <w:r w:rsidR="00934493">
        <w:t>t</w:t>
      </w:r>
      <w:r>
        <w:t xml:space="preserve">ion grave du MAE : pseudomonas Aerugonse </w:t>
      </w:r>
    </w:p>
    <w:p w14:paraId="5E6C126A" w14:textId="0B5225D3" w:rsidR="00A429A7" w:rsidRDefault="00A429A7" w:rsidP="00A429A7">
      <w:r>
        <w:t>90% sujet âge diabétique mal équilibré</w:t>
      </w:r>
    </w:p>
    <w:p w14:paraId="51B23B79" w14:textId="43A2E40D" w:rsidR="00A429A7" w:rsidRDefault="00A429A7" w:rsidP="00A429A7">
      <w:r>
        <w:t xml:space="preserve">10 % immuno-affaiblie </w:t>
      </w:r>
    </w:p>
    <w:p w14:paraId="5B13A355" w14:textId="577725A1" w:rsidR="00A429A7" w:rsidRDefault="00A429A7" w:rsidP="00A429A7">
      <w:r>
        <w:t>L’évolution : effraction MAE, zone nécrotique ou polypoïde du MAE</w:t>
      </w:r>
    </w:p>
    <w:p w14:paraId="688CC0A6" w14:textId="546E4324" w:rsidR="00A429A7" w:rsidRDefault="00A429A7" w:rsidP="00A429A7">
      <w:r>
        <w:t>TDM/IRM/scintigraphie</w:t>
      </w:r>
    </w:p>
    <w:p w14:paraId="2512AE0C" w14:textId="1A694484" w:rsidR="00A429A7" w:rsidRDefault="00A429A7" w:rsidP="00A429A7">
      <w:pPr>
        <w:pStyle w:val="Titre4"/>
      </w:pPr>
      <w:r>
        <w:t>Formes cliniques : OE mycosique (Otomycose)</w:t>
      </w:r>
    </w:p>
    <w:p w14:paraId="62EEAE41" w14:textId="23631925" w:rsidR="00A429A7" w:rsidRDefault="00A429A7" w:rsidP="00A429A7">
      <w:r>
        <w:t>Idem d’une OED en moins intense, Prurit : évocateur</w:t>
      </w:r>
    </w:p>
    <w:p w14:paraId="071A660E" w14:textId="18724FC7" w:rsidR="00A429A7" w:rsidRDefault="00A429A7" w:rsidP="00A429A7">
      <w:r>
        <w:t xml:space="preserve">L’otologie : MAE inflammatoire, un aspect humide de papier buvard </w:t>
      </w:r>
    </w:p>
    <w:p w14:paraId="5383858D" w14:textId="21B41314" w:rsidR="00A429A7" w:rsidRDefault="00A429A7" w:rsidP="00A429A7">
      <w:pPr>
        <w:numPr>
          <w:ilvl w:val="1"/>
          <w:numId w:val="8"/>
        </w:numPr>
      </w:pPr>
      <w:r>
        <w:t>Encombrement dan filaments</w:t>
      </w:r>
      <w:proofErr w:type="gramStart"/>
      <w:r>
        <w:t xml:space="preserve"> ….</w:t>
      </w:r>
      <w:proofErr w:type="gramEnd"/>
      <w:r>
        <w:t>.</w:t>
      </w:r>
    </w:p>
    <w:p w14:paraId="747F8494" w14:textId="63054D91" w:rsidR="00A429A7" w:rsidRDefault="00A429A7" w:rsidP="00A429A7">
      <w:pPr>
        <w:pStyle w:val="Titre4"/>
      </w:pPr>
      <w:r>
        <w:t xml:space="preserve">OE cornique </w:t>
      </w:r>
    </w:p>
    <w:p w14:paraId="5D7DB048" w14:textId="3A54F624" w:rsidR="00A429A7" w:rsidRDefault="00A429A7" w:rsidP="00A429A7">
      <w:r>
        <w:t>Prurit auriculaire : hypoacousie, otorrhée</w:t>
      </w:r>
    </w:p>
    <w:p w14:paraId="3F5500FE" w14:textId="3AE517C5" w:rsidR="00A429A7" w:rsidRDefault="00A429A7" w:rsidP="00A429A7">
      <w:pPr>
        <w:pStyle w:val="Titre4"/>
      </w:pPr>
      <w:r>
        <w:t xml:space="preserve">Eczéma du MAE </w:t>
      </w:r>
    </w:p>
    <w:p w14:paraId="799D7AE2" w14:textId="77777777" w:rsidR="00934493" w:rsidRDefault="00A429A7" w:rsidP="00934493">
      <w:r>
        <w:t>Prurit, douleur moins intense</w:t>
      </w:r>
    </w:p>
    <w:p w14:paraId="79FCA1A7" w14:textId="1DF92216" w:rsidR="00A429A7" w:rsidRDefault="00A429A7" w:rsidP="00934493">
      <w:proofErr w:type="gramStart"/>
      <w:r>
        <w:t>Otorrhée citrin</w:t>
      </w:r>
      <w:proofErr w:type="gramEnd"/>
    </w:p>
    <w:p w14:paraId="05306191" w14:textId="2B84026D" w:rsidR="00A429A7" w:rsidRPr="00A429A7" w:rsidRDefault="00A429A7" w:rsidP="00A429A7">
      <w:r>
        <w:t>A l’otoscopie : érythème, croutes</w:t>
      </w:r>
    </w:p>
    <w:p w14:paraId="7D7C2BCA" w14:textId="1D55819F" w:rsidR="00A429A7" w:rsidRDefault="00A429A7" w:rsidP="00A429A7">
      <w:pPr>
        <w:pStyle w:val="Titre4"/>
      </w:pPr>
      <w:r>
        <w:t>Complications</w:t>
      </w:r>
    </w:p>
    <w:p w14:paraId="745A6CC7" w14:textId="09E1CA45" w:rsidR="00A429A7" w:rsidRDefault="00A429A7" w:rsidP="00A429A7">
      <w:r>
        <w:t xml:space="preserve">Chondrite, périchondrite, abcès péri auriculaire, cellulite faciale, ostéite </w:t>
      </w:r>
    </w:p>
    <w:p w14:paraId="36196606" w14:textId="15E4AA4E" w:rsidR="00A429A7" w:rsidRDefault="00A429A7" w:rsidP="00A429A7">
      <w:pPr>
        <w:pStyle w:val="Titre3"/>
      </w:pPr>
      <w:r>
        <w:t>Diagnostic étiologique</w:t>
      </w:r>
    </w:p>
    <w:p w14:paraId="00663FF7" w14:textId="2476A05F" w:rsidR="00A429A7" w:rsidRDefault="00A429A7" w:rsidP="00A429A7">
      <w:r>
        <w:t>Facteurs favorisants : lésion cutanée préexistant du MAE, CE ; b</w:t>
      </w:r>
      <w:r w:rsidR="00310745">
        <w:t>ain</w:t>
      </w:r>
      <w:r>
        <w:t xml:space="preserve"> en </w:t>
      </w:r>
      <w:r w:rsidR="00310745">
        <w:t>p</w:t>
      </w:r>
      <w:r>
        <w:t>iscine, manipulation intempestive (coton tiges, plumes d’oiseau,)</w:t>
      </w:r>
    </w:p>
    <w:p w14:paraId="1F0EF952" w14:textId="47D5D505" w:rsidR="00A429A7" w:rsidRDefault="00A429A7" w:rsidP="00A429A7">
      <w:r>
        <w:t>Facteur</w:t>
      </w:r>
      <w:r w:rsidR="00934493">
        <w:t>s</w:t>
      </w:r>
      <w:r>
        <w:t xml:space="preserve"> </w:t>
      </w:r>
      <w:r w:rsidR="00934493">
        <w:t>déterminants</w:t>
      </w:r>
      <w:r>
        <w:t xml:space="preserve"> (</w:t>
      </w:r>
      <w:r w:rsidR="00310745">
        <w:t>g</w:t>
      </w:r>
      <w:r>
        <w:t>erme</w:t>
      </w:r>
      <w:r w:rsidR="00310745">
        <w:t>s)</w:t>
      </w:r>
    </w:p>
    <w:p w14:paraId="31E951B6" w14:textId="7BAA810C" w:rsidR="00A429A7" w:rsidRDefault="00A429A7" w:rsidP="00A429A7">
      <w:pPr>
        <w:numPr>
          <w:ilvl w:val="1"/>
          <w:numId w:val="8"/>
        </w:numPr>
      </w:pPr>
      <w:r>
        <w:t xml:space="preserve">Bactérie : </w:t>
      </w:r>
      <w:r w:rsidR="00310745">
        <w:t>staphylococcus</w:t>
      </w:r>
      <w:r>
        <w:t xml:space="preserve"> aureu</w:t>
      </w:r>
      <w:r w:rsidR="00310745">
        <w:t>s</w:t>
      </w:r>
      <w:r>
        <w:t>, staph</w:t>
      </w:r>
      <w:r w:rsidR="00310745">
        <w:t>ylococcus</w:t>
      </w:r>
      <w:r>
        <w:t xml:space="preserve"> épidermidis, </w:t>
      </w:r>
      <w:r w:rsidR="00310745">
        <w:t>e</w:t>
      </w:r>
      <w:r>
        <w:t>ntérobactérie, pseudomonas aer</w:t>
      </w:r>
      <w:r w:rsidR="00310745">
        <w:t>ugin</w:t>
      </w:r>
      <w:r>
        <w:t>o</w:t>
      </w:r>
      <w:r w:rsidR="00310745">
        <w:t>sa</w:t>
      </w:r>
      <w:r>
        <w:t xml:space="preserve">, </w:t>
      </w:r>
    </w:p>
    <w:p w14:paraId="4665A9CD" w14:textId="63E2D534" w:rsidR="00A429A7" w:rsidRDefault="00310745" w:rsidP="00A429A7">
      <w:pPr>
        <w:numPr>
          <w:ilvl w:val="1"/>
          <w:numId w:val="8"/>
        </w:numPr>
      </w:pPr>
      <w:r>
        <w:t>Champignons</w:t>
      </w:r>
      <w:r w:rsidR="00A429A7">
        <w:t> : aspergillus, candida</w:t>
      </w:r>
    </w:p>
    <w:p w14:paraId="6902C7B0" w14:textId="6D2C207F" w:rsidR="00310745" w:rsidRDefault="00310745" w:rsidP="00310745">
      <w:pPr>
        <w:pStyle w:val="Titre3"/>
      </w:pPr>
      <w:r>
        <w:t>Diagnostic différentiel</w:t>
      </w:r>
    </w:p>
    <w:p w14:paraId="50E78E90" w14:textId="3A1D8942" w:rsidR="00310745" w:rsidRDefault="00310745" w:rsidP="00310745">
      <w:r>
        <w:t>Otalgie / sténose</w:t>
      </w:r>
    </w:p>
    <w:p w14:paraId="1A277BC6" w14:textId="4AC1F63F" w:rsidR="00310745" w:rsidRDefault="00310745" w:rsidP="00310745">
      <w:pPr>
        <w:numPr>
          <w:ilvl w:val="1"/>
          <w:numId w:val="8"/>
        </w:numPr>
      </w:pPr>
      <w:r>
        <w:t>OMA</w:t>
      </w:r>
    </w:p>
    <w:p w14:paraId="0E10B611" w14:textId="37EDCF10" w:rsidR="00310745" w:rsidRDefault="00310745" w:rsidP="00310745">
      <w:pPr>
        <w:numPr>
          <w:ilvl w:val="1"/>
          <w:numId w:val="8"/>
        </w:numPr>
      </w:pPr>
      <w:r>
        <w:t>Otite moyenne chronique</w:t>
      </w:r>
    </w:p>
    <w:p w14:paraId="5B50E6F6" w14:textId="390E95B2" w:rsidR="00310745" w:rsidRDefault="00310745" w:rsidP="00310745">
      <w:pPr>
        <w:numPr>
          <w:ilvl w:val="1"/>
          <w:numId w:val="8"/>
        </w:numPr>
      </w:pPr>
      <w:r>
        <w:t>Tumeur de l’oreille externe/moyenne</w:t>
      </w:r>
    </w:p>
    <w:p w14:paraId="4382F13C" w14:textId="0D61E96D" w:rsidR="00310745" w:rsidRDefault="00310745" w:rsidP="00310745">
      <w:pPr>
        <w:numPr>
          <w:ilvl w:val="1"/>
          <w:numId w:val="8"/>
        </w:numPr>
      </w:pPr>
      <w:r>
        <w:t>Sténose du MAE</w:t>
      </w:r>
    </w:p>
    <w:p w14:paraId="0044B5F2" w14:textId="3EFFDAF5" w:rsidR="00310745" w:rsidRDefault="00310745" w:rsidP="00310745">
      <w:pPr>
        <w:numPr>
          <w:ilvl w:val="1"/>
          <w:numId w:val="8"/>
        </w:numPr>
      </w:pPr>
      <w:r>
        <w:t>Otohématome</w:t>
      </w:r>
    </w:p>
    <w:p w14:paraId="2BA6693E" w14:textId="7B080D46" w:rsidR="00310745" w:rsidRDefault="00310745" w:rsidP="00310745">
      <w:pPr>
        <w:numPr>
          <w:ilvl w:val="1"/>
          <w:numId w:val="8"/>
        </w:numPr>
      </w:pPr>
      <w:r>
        <w:lastRenderedPageBreak/>
        <w:t xml:space="preserve">Otalgie reflexe </w:t>
      </w:r>
    </w:p>
    <w:p w14:paraId="7EF23C06" w14:textId="7A3658EC" w:rsidR="00310745" w:rsidRDefault="00310745" w:rsidP="00310745">
      <w:pPr>
        <w:pStyle w:val="Titre2"/>
      </w:pPr>
      <w:r>
        <w:t>Traitemen</w:t>
      </w:r>
      <w:r w:rsidR="00934493">
        <w:t>t</w:t>
      </w:r>
    </w:p>
    <w:p w14:paraId="504738E1" w14:textId="699E78E6" w:rsidR="00310745" w:rsidRDefault="00310745" w:rsidP="00310745">
      <w:pPr>
        <w:pStyle w:val="Titre3"/>
      </w:pPr>
      <w:r>
        <w:t>Buts</w:t>
      </w:r>
    </w:p>
    <w:p w14:paraId="687F65CC" w14:textId="00F9EB30" w:rsidR="00310745" w:rsidRDefault="00310745" w:rsidP="00310745">
      <w:r>
        <w:t>Soulager</w:t>
      </w:r>
    </w:p>
    <w:p w14:paraId="0A439227" w14:textId="461A3320" w:rsidR="00310745" w:rsidRDefault="00310745" w:rsidP="00310745">
      <w:r>
        <w:t>Evite les complications</w:t>
      </w:r>
    </w:p>
    <w:p w14:paraId="76283899" w14:textId="5FC45007" w:rsidR="00310745" w:rsidRDefault="005475ED" w:rsidP="00310745">
      <w:r>
        <w:t>***</w:t>
      </w:r>
      <w:r w:rsidR="00310745">
        <w:t>Reste passer par le prof</w:t>
      </w:r>
      <w:r>
        <w:t>***</w:t>
      </w:r>
    </w:p>
    <w:p w14:paraId="5DDEA51F" w14:textId="44488C92" w:rsidR="00310745" w:rsidRDefault="00310745" w:rsidP="00310745">
      <w:pPr>
        <w:pStyle w:val="Titre2"/>
      </w:pPr>
      <w:r>
        <w:t>Conclusion</w:t>
      </w:r>
    </w:p>
    <w:p w14:paraId="071AE25A" w14:textId="5675B02F" w:rsidR="00310745" w:rsidRDefault="00310745" w:rsidP="00310745">
      <w:r>
        <w:t xml:space="preserve">OE : une maladie auto-infligée : </w:t>
      </w:r>
      <w:r w:rsidR="005475ED">
        <w:t>évitable</w:t>
      </w:r>
    </w:p>
    <w:p w14:paraId="3E3B01A3" w14:textId="5405DD3A" w:rsidR="00310745" w:rsidRDefault="00310745" w:rsidP="00310745">
      <w:r>
        <w:t>Prévention +++</w:t>
      </w:r>
    </w:p>
    <w:p w14:paraId="0004EEE3" w14:textId="3B6C5DE8" w:rsidR="00310745" w:rsidRDefault="00310745" w:rsidP="00310745">
      <w:r>
        <w:t>Diagnostic surtout clinique par otalgie</w:t>
      </w:r>
    </w:p>
    <w:p w14:paraId="3D3C2DA5" w14:textId="74337216" w:rsidR="00310745" w:rsidRDefault="00310745" w:rsidP="00310745">
      <w:r>
        <w:t>Identification des maladies sous-jacentes</w:t>
      </w:r>
    </w:p>
    <w:p w14:paraId="49CDE385" w14:textId="18B8574D" w:rsidR="00310745" w:rsidRDefault="00310745" w:rsidP="00310745">
      <w:r>
        <w:t>Dépister les formes malignes chez les immunodéprimés</w:t>
      </w:r>
    </w:p>
    <w:p w14:paraId="72F9E2DC" w14:textId="60ECC1CA" w:rsidR="004E7FC0" w:rsidRDefault="004E7FC0">
      <w:pPr>
        <w:numPr>
          <w:ilvl w:val="0"/>
          <w:numId w:val="0"/>
        </w:numPr>
      </w:pPr>
      <w:r>
        <w:br w:type="page"/>
      </w:r>
    </w:p>
    <w:sectPr w:rsidR="004E7F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B8ACC" w14:textId="77777777" w:rsidR="00F9524E" w:rsidRDefault="00F9524E" w:rsidP="00CF2E78">
      <w:pPr>
        <w:spacing w:after="0" w:line="240" w:lineRule="auto"/>
      </w:pPr>
      <w:r>
        <w:separator/>
      </w:r>
    </w:p>
  </w:endnote>
  <w:endnote w:type="continuationSeparator" w:id="0">
    <w:p w14:paraId="141D1EE9" w14:textId="77777777" w:rsidR="00F9524E" w:rsidRDefault="00F9524E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0854B7" w14:textId="77777777" w:rsidR="00F9524E" w:rsidRDefault="00F9524E" w:rsidP="00CF2E78">
      <w:pPr>
        <w:spacing w:after="0" w:line="240" w:lineRule="auto"/>
      </w:pPr>
      <w:r>
        <w:separator/>
      </w:r>
    </w:p>
  </w:footnote>
  <w:footnote w:type="continuationSeparator" w:id="0">
    <w:p w14:paraId="7955BECF" w14:textId="77777777" w:rsidR="00F9524E" w:rsidRDefault="00F9524E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6E367CDC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3604A91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C9D6BC90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32072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E4D8B984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DB4D5D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C5DE5C64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05DE"/>
    <w:rsid w:val="00000EF9"/>
    <w:rsid w:val="000079B9"/>
    <w:rsid w:val="00011269"/>
    <w:rsid w:val="0002668A"/>
    <w:rsid w:val="000346E7"/>
    <w:rsid w:val="00035268"/>
    <w:rsid w:val="00050B08"/>
    <w:rsid w:val="00052B72"/>
    <w:rsid w:val="00057BE4"/>
    <w:rsid w:val="00065F4E"/>
    <w:rsid w:val="00067D5C"/>
    <w:rsid w:val="00074735"/>
    <w:rsid w:val="00082028"/>
    <w:rsid w:val="00082807"/>
    <w:rsid w:val="00094B0A"/>
    <w:rsid w:val="0009587B"/>
    <w:rsid w:val="000A04DC"/>
    <w:rsid w:val="000B7AD3"/>
    <w:rsid w:val="000C4588"/>
    <w:rsid w:val="000F03EE"/>
    <w:rsid w:val="000F074A"/>
    <w:rsid w:val="000F56EA"/>
    <w:rsid w:val="000F7DF3"/>
    <w:rsid w:val="00101EE7"/>
    <w:rsid w:val="001073D8"/>
    <w:rsid w:val="00117002"/>
    <w:rsid w:val="001275BA"/>
    <w:rsid w:val="00131216"/>
    <w:rsid w:val="00140CCE"/>
    <w:rsid w:val="00155F35"/>
    <w:rsid w:val="00171E3E"/>
    <w:rsid w:val="00174336"/>
    <w:rsid w:val="0019751E"/>
    <w:rsid w:val="001A1154"/>
    <w:rsid w:val="001A332B"/>
    <w:rsid w:val="001A3A6B"/>
    <w:rsid w:val="001B3AC9"/>
    <w:rsid w:val="001B4CF1"/>
    <w:rsid w:val="001B5963"/>
    <w:rsid w:val="001B7BD0"/>
    <w:rsid w:val="001D756E"/>
    <w:rsid w:val="00211F08"/>
    <w:rsid w:val="0021692A"/>
    <w:rsid w:val="002206C6"/>
    <w:rsid w:val="00224F72"/>
    <w:rsid w:val="002409EC"/>
    <w:rsid w:val="00246B2F"/>
    <w:rsid w:val="00251898"/>
    <w:rsid w:val="00260E1B"/>
    <w:rsid w:val="002944D9"/>
    <w:rsid w:val="00294EFA"/>
    <w:rsid w:val="002D69D5"/>
    <w:rsid w:val="002E1847"/>
    <w:rsid w:val="002E2650"/>
    <w:rsid w:val="002E4EDA"/>
    <w:rsid w:val="002F45C1"/>
    <w:rsid w:val="00310745"/>
    <w:rsid w:val="0031516F"/>
    <w:rsid w:val="00322410"/>
    <w:rsid w:val="0032542A"/>
    <w:rsid w:val="00340A65"/>
    <w:rsid w:val="00352084"/>
    <w:rsid w:val="0036164B"/>
    <w:rsid w:val="003668DA"/>
    <w:rsid w:val="00374A99"/>
    <w:rsid w:val="00392FC9"/>
    <w:rsid w:val="003B1E2E"/>
    <w:rsid w:val="003B4B9D"/>
    <w:rsid w:val="003B7B0C"/>
    <w:rsid w:val="003C4415"/>
    <w:rsid w:val="003D0DCD"/>
    <w:rsid w:val="003D1281"/>
    <w:rsid w:val="003E2757"/>
    <w:rsid w:val="003E5580"/>
    <w:rsid w:val="003F68C0"/>
    <w:rsid w:val="00403195"/>
    <w:rsid w:val="004133CE"/>
    <w:rsid w:val="00413B19"/>
    <w:rsid w:val="00441C44"/>
    <w:rsid w:val="0044687F"/>
    <w:rsid w:val="00452FB4"/>
    <w:rsid w:val="00480ED7"/>
    <w:rsid w:val="004968E6"/>
    <w:rsid w:val="004A6169"/>
    <w:rsid w:val="004C1CD0"/>
    <w:rsid w:val="004D11D5"/>
    <w:rsid w:val="004D5ED8"/>
    <w:rsid w:val="004E7FC0"/>
    <w:rsid w:val="004F4EFE"/>
    <w:rsid w:val="00500DBD"/>
    <w:rsid w:val="00502110"/>
    <w:rsid w:val="00507F1B"/>
    <w:rsid w:val="005111CF"/>
    <w:rsid w:val="005119AF"/>
    <w:rsid w:val="00513C4F"/>
    <w:rsid w:val="005226B5"/>
    <w:rsid w:val="005426DE"/>
    <w:rsid w:val="00545C35"/>
    <w:rsid w:val="00546656"/>
    <w:rsid w:val="00546C1C"/>
    <w:rsid w:val="005475ED"/>
    <w:rsid w:val="00557C97"/>
    <w:rsid w:val="00571F5E"/>
    <w:rsid w:val="005908D5"/>
    <w:rsid w:val="00593846"/>
    <w:rsid w:val="005949AB"/>
    <w:rsid w:val="00595A78"/>
    <w:rsid w:val="005B1ECA"/>
    <w:rsid w:val="005E251E"/>
    <w:rsid w:val="00604B63"/>
    <w:rsid w:val="006263D0"/>
    <w:rsid w:val="006404C2"/>
    <w:rsid w:val="00644D5B"/>
    <w:rsid w:val="0064793A"/>
    <w:rsid w:val="00684D54"/>
    <w:rsid w:val="00686740"/>
    <w:rsid w:val="00692B57"/>
    <w:rsid w:val="00693811"/>
    <w:rsid w:val="006B1BF2"/>
    <w:rsid w:val="006B6075"/>
    <w:rsid w:val="006C050C"/>
    <w:rsid w:val="006D2B9E"/>
    <w:rsid w:val="006E19F7"/>
    <w:rsid w:val="006E68BE"/>
    <w:rsid w:val="00702686"/>
    <w:rsid w:val="0070703C"/>
    <w:rsid w:val="0071056C"/>
    <w:rsid w:val="00715731"/>
    <w:rsid w:val="0072033B"/>
    <w:rsid w:val="00720DCA"/>
    <w:rsid w:val="00727B24"/>
    <w:rsid w:val="00731E99"/>
    <w:rsid w:val="007625F5"/>
    <w:rsid w:val="0076289A"/>
    <w:rsid w:val="0076448B"/>
    <w:rsid w:val="00765892"/>
    <w:rsid w:val="00766EEB"/>
    <w:rsid w:val="007806A6"/>
    <w:rsid w:val="00792A48"/>
    <w:rsid w:val="007B27F9"/>
    <w:rsid w:val="007D689E"/>
    <w:rsid w:val="007E152F"/>
    <w:rsid w:val="007F04FC"/>
    <w:rsid w:val="0080323E"/>
    <w:rsid w:val="008219DB"/>
    <w:rsid w:val="00827E64"/>
    <w:rsid w:val="00851C57"/>
    <w:rsid w:val="00875ACB"/>
    <w:rsid w:val="0089559B"/>
    <w:rsid w:val="008B1B0C"/>
    <w:rsid w:val="008B54B1"/>
    <w:rsid w:val="008C4D25"/>
    <w:rsid w:val="008D6570"/>
    <w:rsid w:val="008E351D"/>
    <w:rsid w:val="008E4FCE"/>
    <w:rsid w:val="008F01EB"/>
    <w:rsid w:val="008F081D"/>
    <w:rsid w:val="008F5B14"/>
    <w:rsid w:val="00906352"/>
    <w:rsid w:val="00912AB9"/>
    <w:rsid w:val="00934493"/>
    <w:rsid w:val="00947293"/>
    <w:rsid w:val="00957C90"/>
    <w:rsid w:val="009857FE"/>
    <w:rsid w:val="00994C57"/>
    <w:rsid w:val="009C0780"/>
    <w:rsid w:val="009D09C1"/>
    <w:rsid w:val="00A02AB7"/>
    <w:rsid w:val="00A11211"/>
    <w:rsid w:val="00A20426"/>
    <w:rsid w:val="00A37EAD"/>
    <w:rsid w:val="00A429A7"/>
    <w:rsid w:val="00A53B3F"/>
    <w:rsid w:val="00A73540"/>
    <w:rsid w:val="00A937A3"/>
    <w:rsid w:val="00A9432C"/>
    <w:rsid w:val="00AC73EC"/>
    <w:rsid w:val="00AE60A3"/>
    <w:rsid w:val="00B0608B"/>
    <w:rsid w:val="00B1781F"/>
    <w:rsid w:val="00B2184B"/>
    <w:rsid w:val="00B36841"/>
    <w:rsid w:val="00B368A5"/>
    <w:rsid w:val="00B854B3"/>
    <w:rsid w:val="00B90C25"/>
    <w:rsid w:val="00B9180C"/>
    <w:rsid w:val="00B95234"/>
    <w:rsid w:val="00B97B25"/>
    <w:rsid w:val="00BD1AC0"/>
    <w:rsid w:val="00BD5A58"/>
    <w:rsid w:val="00BD76B6"/>
    <w:rsid w:val="00BE12C2"/>
    <w:rsid w:val="00C0478C"/>
    <w:rsid w:val="00C150C6"/>
    <w:rsid w:val="00C2107A"/>
    <w:rsid w:val="00C44F52"/>
    <w:rsid w:val="00C545EF"/>
    <w:rsid w:val="00C65FFC"/>
    <w:rsid w:val="00C73400"/>
    <w:rsid w:val="00C82DA7"/>
    <w:rsid w:val="00C841A8"/>
    <w:rsid w:val="00C90B85"/>
    <w:rsid w:val="00CB0C58"/>
    <w:rsid w:val="00CB6A33"/>
    <w:rsid w:val="00CD37BD"/>
    <w:rsid w:val="00CD5EE5"/>
    <w:rsid w:val="00CE1E7E"/>
    <w:rsid w:val="00CE6EB3"/>
    <w:rsid w:val="00CF204C"/>
    <w:rsid w:val="00CF2E78"/>
    <w:rsid w:val="00CF3FC9"/>
    <w:rsid w:val="00D071AD"/>
    <w:rsid w:val="00D1285D"/>
    <w:rsid w:val="00D13BD2"/>
    <w:rsid w:val="00D615C5"/>
    <w:rsid w:val="00D8253C"/>
    <w:rsid w:val="00D832DD"/>
    <w:rsid w:val="00DA1FD7"/>
    <w:rsid w:val="00DB1A02"/>
    <w:rsid w:val="00DC547C"/>
    <w:rsid w:val="00DD0D5F"/>
    <w:rsid w:val="00DE04B0"/>
    <w:rsid w:val="00DE414F"/>
    <w:rsid w:val="00DE6FED"/>
    <w:rsid w:val="00DF62C9"/>
    <w:rsid w:val="00DF67E4"/>
    <w:rsid w:val="00E14795"/>
    <w:rsid w:val="00E766A3"/>
    <w:rsid w:val="00E8521A"/>
    <w:rsid w:val="00E85CBD"/>
    <w:rsid w:val="00E9308D"/>
    <w:rsid w:val="00EB40A9"/>
    <w:rsid w:val="00EC0B8A"/>
    <w:rsid w:val="00EC2317"/>
    <w:rsid w:val="00EE49ED"/>
    <w:rsid w:val="00EF0C0D"/>
    <w:rsid w:val="00EF4729"/>
    <w:rsid w:val="00F428BB"/>
    <w:rsid w:val="00F54BAC"/>
    <w:rsid w:val="00F620FF"/>
    <w:rsid w:val="00F625C1"/>
    <w:rsid w:val="00F85E77"/>
    <w:rsid w:val="00F9524E"/>
    <w:rsid w:val="00FA2B67"/>
    <w:rsid w:val="00FA5187"/>
    <w:rsid w:val="00FD4CC6"/>
    <w:rsid w:val="00FD5361"/>
    <w:rsid w:val="00FE2C1B"/>
    <w:rsid w:val="00FE2FDA"/>
    <w:rsid w:val="00FE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C72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table" w:styleId="Grilledutableau">
    <w:name w:val="Table Grid"/>
    <w:basedOn w:val="TableauNormal"/>
    <w:uiPriority w:val="39"/>
    <w:rsid w:val="000A0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1207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228</cp:revision>
  <dcterms:created xsi:type="dcterms:W3CDTF">2025-03-30T11:16:00Z</dcterms:created>
  <dcterms:modified xsi:type="dcterms:W3CDTF">2026-09-08T04:28:00Z</dcterms:modified>
</cp:coreProperties>
</file>