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34127" w14:textId="64E9F4F1" w:rsidR="00101EE7" w:rsidRDefault="00FE5216" w:rsidP="00FE5216">
      <w:pPr>
        <w:pStyle w:val="Titre1"/>
      </w:pPr>
      <w:r>
        <w:lastRenderedPageBreak/>
        <w:t>signes d’alarme des cancers de VADS</w:t>
      </w:r>
    </w:p>
    <w:p w14:paraId="7E66A979" w14:textId="160E81F2" w:rsidR="00FE5216" w:rsidRDefault="00FE5216" w:rsidP="00FE5216">
      <w:pPr>
        <w:pStyle w:val="Titre2"/>
      </w:pPr>
      <w:r>
        <w:t>Objectifs</w:t>
      </w:r>
    </w:p>
    <w:p w14:paraId="1272062C" w14:textId="5FEC4985" w:rsidR="00FE5216" w:rsidRDefault="00FE5216" w:rsidP="00FE5216">
      <w:r>
        <w:t>Identifier les facteurs de risque</w:t>
      </w:r>
    </w:p>
    <w:p w14:paraId="06CD6EF4" w14:textId="3BC3A877" w:rsidR="00FE5216" w:rsidRDefault="00FE5216" w:rsidP="00FE5216">
      <w:r>
        <w:t>Dépister les signes d’alarme</w:t>
      </w:r>
    </w:p>
    <w:p w14:paraId="5C22BF03" w14:textId="7361D00D" w:rsidR="00FE5216" w:rsidRDefault="00FE5216" w:rsidP="00FE5216">
      <w:r>
        <w:t>Connaitre la valeur sémiologique de chaque signe d’alarme</w:t>
      </w:r>
    </w:p>
    <w:p w14:paraId="7B99A5FD" w14:textId="0753206C" w:rsidR="00FE5216" w:rsidRDefault="00FE5216" w:rsidP="00FE5216">
      <w:r>
        <w:t>Savoir l’attitude à adopter devant un signe d’alarme</w:t>
      </w:r>
    </w:p>
    <w:p w14:paraId="35BE4DA0" w14:textId="3CB85AF9" w:rsidR="00FE5216" w:rsidRDefault="00FE5216" w:rsidP="00FE5216">
      <w:pPr>
        <w:pStyle w:val="Titre2"/>
      </w:pPr>
      <w:r>
        <w:t>Généralités</w:t>
      </w:r>
    </w:p>
    <w:p w14:paraId="50FECCD1" w14:textId="70EB30F3" w:rsidR="00FE5216" w:rsidRDefault="00FE5216" w:rsidP="00FE5216">
      <w:pPr>
        <w:pStyle w:val="Titre3"/>
      </w:pPr>
      <w:r>
        <w:t xml:space="preserve">Définition </w:t>
      </w:r>
    </w:p>
    <w:p w14:paraId="09C1CFD8" w14:textId="333C6E22" w:rsidR="00FE5216" w:rsidRDefault="00FE5216" w:rsidP="00FE5216">
      <w:r>
        <w:t>Cancers des VADS</w:t>
      </w:r>
      <w:r w:rsidR="007D689E">
        <w:t xml:space="preserve"> (voie aéro-digestive supérieur)</w:t>
      </w:r>
      <w:r>
        <w:t> : ensemble des tumeurs malignes développées au</w:t>
      </w:r>
      <w:r w:rsidR="004133CE">
        <w:t>x</w:t>
      </w:r>
      <w:r>
        <w:t xml:space="preserve"> dépens des structures cavitaires et des conduits aériens de la face et du cou</w:t>
      </w:r>
    </w:p>
    <w:p w14:paraId="04191806" w14:textId="233A6878" w:rsidR="00FE5216" w:rsidRDefault="00FE5216" w:rsidP="00FE5216">
      <w:r>
        <w:t>Signes d’alarme : les symptôme</w:t>
      </w:r>
      <w:r w:rsidR="004133CE">
        <w:t>s</w:t>
      </w:r>
      <w:r>
        <w:t xml:space="preserve"> à la phase du début du cancer</w:t>
      </w:r>
    </w:p>
    <w:p w14:paraId="46BC5407" w14:textId="11DA0116" w:rsidR="00FE5216" w:rsidRDefault="00FE5216" w:rsidP="00FE5216">
      <w:pPr>
        <w:pStyle w:val="Titre3"/>
      </w:pPr>
      <w:r>
        <w:t>Intérêts</w:t>
      </w:r>
    </w:p>
    <w:p w14:paraId="35BE35C8" w14:textId="65005A40" w:rsidR="00FE5216" w:rsidRDefault="00FE5216" w:rsidP="00FE5216">
      <w:r>
        <w:t>Fréquence : 8% des décès par le cancer</w:t>
      </w:r>
    </w:p>
    <w:p w14:paraId="71FC7690" w14:textId="23088B8F" w:rsidR="00FE5216" w:rsidRDefault="00FE5216" w:rsidP="00FE5216">
      <w:r>
        <w:t>Facteurs de risque connus, donc évitables</w:t>
      </w:r>
    </w:p>
    <w:p w14:paraId="481029A1" w14:textId="3F9A34E5" w:rsidR="00FE5216" w:rsidRDefault="00FE5216" w:rsidP="00FE5216">
      <w:r>
        <w:t>Signes d’alarmes : polymorphe et banaux : vigilance +++</w:t>
      </w:r>
    </w:p>
    <w:p w14:paraId="19EC0451" w14:textId="470B1A75" w:rsidR="007D689E" w:rsidRDefault="007D689E" w:rsidP="007D689E">
      <w:pPr>
        <w:pStyle w:val="Titre3"/>
      </w:pPr>
      <w:r>
        <w:t>Constitution anatomie es VADS</w:t>
      </w:r>
    </w:p>
    <w:p w14:paraId="1002D8B1" w14:textId="4EF0CFF6" w:rsidR="007D689E" w:rsidRDefault="007D689E" w:rsidP="007D689E">
      <w:r>
        <w:t>Voie digestive</w:t>
      </w:r>
    </w:p>
    <w:p w14:paraId="0766F35A" w14:textId="1305E814" w:rsidR="007D689E" w:rsidRDefault="007D689E" w:rsidP="007D689E">
      <w:pPr>
        <w:numPr>
          <w:ilvl w:val="1"/>
          <w:numId w:val="8"/>
        </w:numPr>
      </w:pPr>
      <w:r>
        <w:t>Cavité orale</w:t>
      </w:r>
    </w:p>
    <w:p w14:paraId="64A511D1" w14:textId="587EACC8" w:rsidR="007D689E" w:rsidRDefault="007D689E" w:rsidP="007D689E">
      <w:pPr>
        <w:numPr>
          <w:ilvl w:val="1"/>
          <w:numId w:val="8"/>
        </w:numPr>
      </w:pPr>
      <w:r>
        <w:t>Oropharynx</w:t>
      </w:r>
    </w:p>
    <w:p w14:paraId="791C658D" w14:textId="7B57EEF2" w:rsidR="007D689E" w:rsidRDefault="007D689E" w:rsidP="007D689E">
      <w:pPr>
        <w:numPr>
          <w:ilvl w:val="1"/>
          <w:numId w:val="8"/>
        </w:numPr>
      </w:pPr>
      <w:r>
        <w:t>Hypopharynx</w:t>
      </w:r>
    </w:p>
    <w:p w14:paraId="678391CF" w14:textId="30FFC147" w:rsidR="007D689E" w:rsidRDefault="007D689E" w:rsidP="007D689E">
      <w:pPr>
        <w:numPr>
          <w:ilvl w:val="1"/>
          <w:numId w:val="8"/>
        </w:numPr>
      </w:pPr>
      <w:r>
        <w:t>Œsophage cervical</w:t>
      </w:r>
    </w:p>
    <w:p w14:paraId="5EA69263" w14:textId="635EDD6F" w:rsidR="007D689E" w:rsidRDefault="007D689E" w:rsidP="007D689E">
      <w:pPr>
        <w:numPr>
          <w:ilvl w:val="1"/>
          <w:numId w:val="8"/>
        </w:numPr>
      </w:pPr>
      <w:r>
        <w:t>Glandes salivaires</w:t>
      </w:r>
    </w:p>
    <w:p w14:paraId="4961DB7E" w14:textId="32463C92" w:rsidR="007D689E" w:rsidRDefault="007D689E" w:rsidP="007D689E">
      <w:pPr>
        <w:numPr>
          <w:ilvl w:val="1"/>
          <w:numId w:val="8"/>
        </w:numPr>
      </w:pPr>
      <w:r>
        <w:t>Histologie : Epithélium malpighien pavimenteux non kératinisé</w:t>
      </w:r>
    </w:p>
    <w:p w14:paraId="05B8F9DB" w14:textId="3C83145B" w:rsidR="007D689E" w:rsidRDefault="007D689E" w:rsidP="007D689E">
      <w:r>
        <w:t>Voie respiratoire</w:t>
      </w:r>
    </w:p>
    <w:p w14:paraId="0BB0AC98" w14:textId="2B3AC3E7" w:rsidR="007D689E" w:rsidRDefault="007D689E" w:rsidP="007D689E">
      <w:pPr>
        <w:numPr>
          <w:ilvl w:val="1"/>
          <w:numId w:val="8"/>
        </w:numPr>
      </w:pPr>
      <w:r>
        <w:t>Cavité nasale</w:t>
      </w:r>
    </w:p>
    <w:p w14:paraId="087A2CAB" w14:textId="71BC4B97" w:rsidR="007D689E" w:rsidRDefault="007D689E" w:rsidP="007D689E">
      <w:pPr>
        <w:numPr>
          <w:ilvl w:val="1"/>
          <w:numId w:val="8"/>
        </w:numPr>
      </w:pPr>
      <w:r>
        <w:t>Rhinopharynx (cavum)</w:t>
      </w:r>
    </w:p>
    <w:p w14:paraId="5FACC2AF" w14:textId="09D116A8" w:rsidR="007D689E" w:rsidRDefault="007D689E" w:rsidP="007D689E">
      <w:pPr>
        <w:numPr>
          <w:ilvl w:val="1"/>
          <w:numId w:val="8"/>
        </w:numPr>
      </w:pPr>
      <w:r>
        <w:lastRenderedPageBreak/>
        <w:t>Oropharynx</w:t>
      </w:r>
    </w:p>
    <w:p w14:paraId="05682323" w14:textId="4CF156B1" w:rsidR="007D689E" w:rsidRDefault="007D689E" w:rsidP="007D689E">
      <w:pPr>
        <w:numPr>
          <w:ilvl w:val="1"/>
          <w:numId w:val="8"/>
        </w:numPr>
      </w:pPr>
      <w:r>
        <w:t>Larynx</w:t>
      </w:r>
    </w:p>
    <w:p w14:paraId="67426BED" w14:textId="13B06800" w:rsidR="007D689E" w:rsidRDefault="007D689E" w:rsidP="007D689E">
      <w:pPr>
        <w:numPr>
          <w:ilvl w:val="1"/>
          <w:numId w:val="8"/>
        </w:numPr>
      </w:pPr>
      <w:r>
        <w:t>Trachée cervicale</w:t>
      </w:r>
    </w:p>
    <w:p w14:paraId="7192781A" w14:textId="50B88FAC" w:rsidR="007D689E" w:rsidRDefault="007D689E" w:rsidP="007D689E">
      <w:pPr>
        <w:numPr>
          <w:ilvl w:val="1"/>
          <w:numId w:val="8"/>
        </w:numPr>
      </w:pPr>
      <w:r>
        <w:t>Histologie : épithélium cylindrique cilié</w:t>
      </w:r>
    </w:p>
    <w:p w14:paraId="536CA408" w14:textId="32C4EE4D" w:rsidR="007D689E" w:rsidRDefault="008E473C" w:rsidP="00340A65">
      <w:pPr>
        <w:pStyle w:val="Titre3"/>
      </w:pPr>
      <w:r>
        <w:t>Rappels anatomopathologiques</w:t>
      </w:r>
    </w:p>
    <w:p w14:paraId="1B847A59" w14:textId="734801C2" w:rsidR="00340A65" w:rsidRDefault="00340A65" w:rsidP="00340A65">
      <w:pPr>
        <w:pStyle w:val="Titre4"/>
      </w:pPr>
      <w:r>
        <w:t>Formes macroscopiques</w:t>
      </w:r>
    </w:p>
    <w:p w14:paraId="2C78566E" w14:textId="24C2662B" w:rsidR="00340A65" w:rsidRDefault="00340A65" w:rsidP="00340A65">
      <w:r>
        <w:t>Forme ulcérant</w:t>
      </w:r>
    </w:p>
    <w:p w14:paraId="399ED908" w14:textId="0DFD783D" w:rsidR="00340A65" w:rsidRDefault="00340A65" w:rsidP="00340A65">
      <w:r>
        <w:t>Forme bourgeonnante</w:t>
      </w:r>
    </w:p>
    <w:p w14:paraId="5EE98E6F" w14:textId="1D973816" w:rsidR="00340A65" w:rsidRDefault="00340A65" w:rsidP="00340A65">
      <w:r>
        <w:t>Forme infiltrante</w:t>
      </w:r>
    </w:p>
    <w:p w14:paraId="6DB77605" w14:textId="787F236A" w:rsidR="00340A65" w:rsidRDefault="00340A65" w:rsidP="00340A65">
      <w:r>
        <w:t>Formes mixtes :</w:t>
      </w:r>
    </w:p>
    <w:p w14:paraId="407E9C7C" w14:textId="09ACF472" w:rsidR="00340A65" w:rsidRDefault="00340A65" w:rsidP="00340A65">
      <w:pPr>
        <w:numPr>
          <w:ilvl w:val="1"/>
          <w:numId w:val="8"/>
        </w:numPr>
      </w:pPr>
      <w:r>
        <w:t>Ulcéro-bourgeonante</w:t>
      </w:r>
    </w:p>
    <w:p w14:paraId="4B2A7163" w14:textId="3B9D674C" w:rsidR="00340A65" w:rsidRDefault="00340A65" w:rsidP="00340A65">
      <w:pPr>
        <w:numPr>
          <w:ilvl w:val="1"/>
          <w:numId w:val="8"/>
        </w:numPr>
      </w:pPr>
      <w:r>
        <w:t>Ulcéro-infltrante</w:t>
      </w:r>
    </w:p>
    <w:p w14:paraId="2090ACB9" w14:textId="435E0FC2" w:rsidR="00340A65" w:rsidRDefault="00340A65" w:rsidP="00340A65">
      <w:r>
        <w:t>2 caractères</w:t>
      </w:r>
    </w:p>
    <w:p w14:paraId="0A8F54AE" w14:textId="21C2871B" w:rsidR="00340A65" w:rsidRDefault="00340A65" w:rsidP="00340A65">
      <w:pPr>
        <w:numPr>
          <w:ilvl w:val="1"/>
          <w:numId w:val="8"/>
        </w:numPr>
      </w:pPr>
      <w:r>
        <w:t>Induration de la base</w:t>
      </w:r>
    </w:p>
    <w:p w14:paraId="3EC5D2E7" w14:textId="408FCCD9" w:rsidR="00340A65" w:rsidRDefault="00340A65" w:rsidP="00340A65">
      <w:pPr>
        <w:numPr>
          <w:ilvl w:val="1"/>
          <w:numId w:val="8"/>
        </w:numPr>
      </w:pPr>
      <w:r>
        <w:t>Saignement facile au contact</w:t>
      </w:r>
    </w:p>
    <w:p w14:paraId="064FBABA" w14:textId="5FE6A2A7" w:rsidR="00340A65" w:rsidRDefault="00340A65" w:rsidP="00340A65">
      <w:pPr>
        <w:pStyle w:val="Titre4"/>
      </w:pPr>
      <w:r>
        <w:t>Formes microscopiques</w:t>
      </w:r>
    </w:p>
    <w:p w14:paraId="2DFAD09D" w14:textId="1389F32C" w:rsidR="00340A65" w:rsidRDefault="00340A65" w:rsidP="00340A65">
      <w:r>
        <w:t>Epithélioma malpighien (carcinome épithéloïde) : 90%</w:t>
      </w:r>
    </w:p>
    <w:p w14:paraId="132B0A48" w14:textId="6A43608C" w:rsidR="00340A65" w:rsidRDefault="00340A65" w:rsidP="00340A65">
      <w:r>
        <w:t>Epithélioma glandulaire (adénocarcinome) : 5%</w:t>
      </w:r>
    </w:p>
    <w:p w14:paraId="51AE928C" w14:textId="7E11C50F" w:rsidR="00340A65" w:rsidRDefault="00340A65" w:rsidP="00340A65">
      <w:r>
        <w:t>Lymphome malin non Hodgkinien : 3%</w:t>
      </w:r>
    </w:p>
    <w:p w14:paraId="0AC1C903" w14:textId="6708FE58" w:rsidR="00340A65" w:rsidRDefault="007806A6" w:rsidP="007806A6">
      <w:pPr>
        <w:pStyle w:val="Titre2"/>
      </w:pPr>
      <w:r>
        <w:t xml:space="preserve">Bilan étiopathogénique </w:t>
      </w:r>
    </w:p>
    <w:p w14:paraId="5F126131" w14:textId="6C018093" w:rsidR="007806A6" w:rsidRDefault="007806A6" w:rsidP="007806A6">
      <w:pPr>
        <w:pStyle w:val="Titre3"/>
      </w:pPr>
      <w:r>
        <w:t>Facteurs de risque fondamentaux</w:t>
      </w:r>
    </w:p>
    <w:p w14:paraId="10AE6A16" w14:textId="2357233A" w:rsidR="007806A6" w:rsidRDefault="007806A6" w:rsidP="007806A6">
      <w:pPr>
        <w:pStyle w:val="Titre4"/>
      </w:pPr>
      <w:r>
        <w:t>Age</w:t>
      </w:r>
    </w:p>
    <w:p w14:paraId="10176D97" w14:textId="4BFCDB70" w:rsidR="007806A6" w:rsidRDefault="007806A6" w:rsidP="007806A6">
      <w:r>
        <w:t>Tous les âges sont concernés</w:t>
      </w:r>
    </w:p>
    <w:p w14:paraId="4516BB2D" w14:textId="0BC3B989" w:rsidR="007806A6" w:rsidRDefault="007806A6" w:rsidP="007806A6">
      <w:r>
        <w:t>Candidat naturel : homme sup ou égale 50 ans</w:t>
      </w:r>
    </w:p>
    <w:p w14:paraId="468DAA21" w14:textId="4FBF552E" w:rsidR="007806A6" w:rsidRDefault="007806A6" w:rsidP="007806A6">
      <w:pPr>
        <w:pStyle w:val="Titre4"/>
      </w:pPr>
      <w:r>
        <w:t>Alcoolo-tabagisme</w:t>
      </w:r>
    </w:p>
    <w:p w14:paraId="7A33A1B8" w14:textId="71E4C458" w:rsidR="007806A6" w:rsidRDefault="007806A6" w:rsidP="007806A6">
      <w:r>
        <w:t>Vin rouge : cancer cavitaire orale, cancer oropharynx, cancer récessus piriforme</w:t>
      </w:r>
    </w:p>
    <w:p w14:paraId="704D473F" w14:textId="2C3D4139" w:rsidR="007806A6" w:rsidRDefault="007806A6" w:rsidP="007806A6">
      <w:r>
        <w:lastRenderedPageBreak/>
        <w:t>Cigarette : cancer du larynx</w:t>
      </w:r>
    </w:p>
    <w:p w14:paraId="44FBFE8D" w14:textId="61CCB245" w:rsidR="007806A6" w:rsidRDefault="007806A6" w:rsidP="007806A6">
      <w:r>
        <w:t xml:space="preserve">Pipe et tabac à chiquer : cancer de la cavité orale </w:t>
      </w:r>
    </w:p>
    <w:p w14:paraId="04DFFD9A" w14:textId="3BBBAD8C" w:rsidR="007806A6" w:rsidRDefault="007806A6" w:rsidP="007806A6">
      <w:pPr>
        <w:pStyle w:val="Titre4"/>
      </w:pPr>
      <w:r>
        <w:t>Facteurs professionnels</w:t>
      </w:r>
    </w:p>
    <w:p w14:paraId="26FE962B" w14:textId="2217DB85" w:rsidR="007806A6" w:rsidRDefault="007806A6" w:rsidP="007806A6">
      <w:r>
        <w:t>Cancer éthmoïdale : travailleur de bois, travailleur de cuire (tanin)</w:t>
      </w:r>
    </w:p>
    <w:p w14:paraId="5C90D3B3" w14:textId="67CD4DF4" w:rsidR="007806A6" w:rsidRDefault="007806A6" w:rsidP="007806A6">
      <w:pPr>
        <w:pStyle w:val="Titre4"/>
      </w:pPr>
      <w:r>
        <w:t>Facteur racial</w:t>
      </w:r>
    </w:p>
    <w:p w14:paraId="4A348858" w14:textId="4B79F060" w:rsidR="007806A6" w:rsidRDefault="007806A6" w:rsidP="007806A6">
      <w:r>
        <w:t>Cancer du cavum</w:t>
      </w:r>
    </w:p>
    <w:p w14:paraId="2007600E" w14:textId="7E6C9BCB" w:rsidR="007806A6" w:rsidRDefault="007806A6" w:rsidP="007806A6">
      <w:pPr>
        <w:numPr>
          <w:ilvl w:val="1"/>
          <w:numId w:val="8"/>
        </w:numPr>
      </w:pPr>
      <w:r>
        <w:t>Maghrébins</w:t>
      </w:r>
    </w:p>
    <w:p w14:paraId="47957676" w14:textId="72F1E4E0" w:rsidR="007806A6" w:rsidRDefault="007806A6" w:rsidP="007806A6">
      <w:pPr>
        <w:numPr>
          <w:ilvl w:val="1"/>
          <w:numId w:val="8"/>
        </w:numPr>
      </w:pPr>
      <w:r>
        <w:t>Asie du Sud-Est</w:t>
      </w:r>
    </w:p>
    <w:p w14:paraId="44E661D5" w14:textId="3D1CB950" w:rsidR="007806A6" w:rsidRDefault="002E4EDA" w:rsidP="002E4EDA">
      <w:pPr>
        <w:pStyle w:val="Titre3"/>
      </w:pPr>
      <w:r>
        <w:t xml:space="preserve">Facteurs irritatifs locaux </w:t>
      </w:r>
    </w:p>
    <w:p w14:paraId="11FE1918" w14:textId="601B9237" w:rsidR="002E4EDA" w:rsidRDefault="002E4EDA" w:rsidP="002E4EDA">
      <w:pPr>
        <w:pStyle w:val="Titre4"/>
      </w:pPr>
      <w:r>
        <w:t>Lésions inflammatoires chroniques</w:t>
      </w:r>
    </w:p>
    <w:p w14:paraId="055AB01C" w14:textId="5C6AFC6D" w:rsidR="002E4EDA" w:rsidRDefault="002E4EDA" w:rsidP="002E4EDA">
      <w:r>
        <w:t>Cicatrices de brulure</w:t>
      </w:r>
    </w:p>
    <w:p w14:paraId="0F62DB36" w14:textId="045945D7" w:rsidR="002E4EDA" w:rsidRDefault="002E4EDA" w:rsidP="002E4EDA">
      <w:r>
        <w:t>Irritations chronique dues au tabac, à l’alcool ou à d’autres irritant</w:t>
      </w:r>
    </w:p>
    <w:p w14:paraId="328A22C3" w14:textId="6BC08E79" w:rsidR="002E4EDA" w:rsidRDefault="002E4EDA" w:rsidP="002E4EDA">
      <w:r>
        <w:t>Inflammations spécifiques : TB, syphilis tertiaire</w:t>
      </w:r>
    </w:p>
    <w:p w14:paraId="2320CD9D" w14:textId="6AD648C1" w:rsidR="002E4EDA" w:rsidRDefault="002E4EDA" w:rsidP="002E4EDA">
      <w:pPr>
        <w:pStyle w:val="Titre4"/>
      </w:pPr>
      <w:r>
        <w:t>Lésions post radiothérapie</w:t>
      </w:r>
    </w:p>
    <w:p w14:paraId="39B20BD9" w14:textId="587388DC" w:rsidR="002E4EDA" w:rsidRDefault="002E4EDA" w:rsidP="002E4EDA">
      <w:r>
        <w:t>Les cancer radio-induits apparaissent 10 à 40 ans après l’exposition</w:t>
      </w:r>
    </w:p>
    <w:p w14:paraId="63564573" w14:textId="705E7A3C" w:rsidR="002E4EDA" w:rsidRDefault="002E4EDA" w:rsidP="002E4EDA">
      <w:pPr>
        <w:pStyle w:val="Titre4"/>
      </w:pPr>
      <w:r>
        <w:t>Lésions métaplasique de la muqueuse</w:t>
      </w:r>
    </w:p>
    <w:p w14:paraId="54B0F24B" w14:textId="7EEA32E3" w:rsidR="002E4EDA" w:rsidRDefault="002E4EDA" w:rsidP="002E4EDA">
      <w:r>
        <w:t>Kératoses, atrophies muqueuse (ex : sd sec)</w:t>
      </w:r>
    </w:p>
    <w:p w14:paraId="79AF3435" w14:textId="0D10A323" w:rsidR="002E4EDA" w:rsidRDefault="00FD5361" w:rsidP="002E4EDA">
      <w:r>
        <w:t>Appeler aussi lésion potentiellement maligne</w:t>
      </w:r>
    </w:p>
    <w:p w14:paraId="524F36E7" w14:textId="10FF88EF" w:rsidR="00FD5361" w:rsidRDefault="00FD5361" w:rsidP="00FD5361">
      <w:pPr>
        <w:pStyle w:val="Titre2"/>
      </w:pPr>
      <w:r>
        <w:t>Signes d’alarme</w:t>
      </w:r>
    </w:p>
    <w:p w14:paraId="3634E08A" w14:textId="3C162094" w:rsidR="00FD5361" w:rsidRDefault="00FD5361" w:rsidP="00FD5361">
      <w:pPr>
        <w:pStyle w:val="Titre3"/>
      </w:pPr>
      <w:r>
        <w:t>Symptômes fonctionnels</w:t>
      </w:r>
    </w:p>
    <w:p w14:paraId="57166750" w14:textId="247864B8" w:rsidR="00FD5361" w:rsidRDefault="00FD5361" w:rsidP="00FD5361">
      <w:pPr>
        <w:pStyle w:val="Titre4"/>
      </w:pPr>
      <w:r>
        <w:t>Une simple gêne pharyngée latéralisée</w:t>
      </w:r>
    </w:p>
    <w:p w14:paraId="39BCB931" w14:textId="3ACE15ED" w:rsidR="00FD5361" w:rsidRDefault="00FD5361" w:rsidP="00FD5361">
      <w:r>
        <w:t>Sous forme de petit accrochage au passage des aliments</w:t>
      </w:r>
    </w:p>
    <w:p w14:paraId="7C5A0323" w14:textId="5F6FB7D5" w:rsidR="00FD5361" w:rsidRDefault="00FD5361" w:rsidP="00FD5361">
      <w:r>
        <w:t>Sensation de CE permanent</w:t>
      </w:r>
    </w:p>
    <w:p w14:paraId="03E65E8A" w14:textId="36C7A51D" w:rsidR="00FD5361" w:rsidRDefault="00FD5361" w:rsidP="00FD5361">
      <w:pPr>
        <w:pStyle w:val="Titre4"/>
      </w:pPr>
      <w:r>
        <w:t xml:space="preserve">Une dysphagie </w:t>
      </w:r>
    </w:p>
    <w:p w14:paraId="24162B3E" w14:textId="2F37CE93" w:rsidR="00FD5361" w:rsidRDefault="00FD5361" w:rsidP="00FD5361">
      <w:r>
        <w:t>Dysphagie haute latéralisée</w:t>
      </w:r>
    </w:p>
    <w:p w14:paraId="5C127388" w14:textId="6B2A7856" w:rsidR="00FD5361" w:rsidRDefault="00FD5361" w:rsidP="00FD5361">
      <w:pPr>
        <w:numPr>
          <w:ilvl w:val="1"/>
          <w:numId w:val="8"/>
        </w:numPr>
      </w:pPr>
      <w:r>
        <w:t>Déjà plus évocateurs, surtout si accompagnée d’otalgie réflexe</w:t>
      </w:r>
    </w:p>
    <w:p w14:paraId="22E065AC" w14:textId="63A046F3" w:rsidR="00FD5361" w:rsidRDefault="00FD5361" w:rsidP="00FD5361">
      <w:r>
        <w:lastRenderedPageBreak/>
        <w:t>Dysphagie basse</w:t>
      </w:r>
    </w:p>
    <w:p w14:paraId="16CECA19" w14:textId="116F33F6" w:rsidR="00FD5361" w:rsidRDefault="00FD5361" w:rsidP="00FD5361">
      <w:pPr>
        <w:numPr>
          <w:ilvl w:val="1"/>
          <w:numId w:val="8"/>
        </w:numPr>
      </w:pPr>
      <w:r>
        <w:t xml:space="preserve">D’apparition insidieuse mais progressive et tenace </w:t>
      </w:r>
    </w:p>
    <w:p w14:paraId="72292F5E" w14:textId="3CD78F18" w:rsidR="00FD5361" w:rsidRDefault="00FD5361" w:rsidP="00FD5361">
      <w:pPr>
        <w:pStyle w:val="Titre4"/>
      </w:pPr>
      <w:r>
        <w:t>Otalgie isolée</w:t>
      </w:r>
    </w:p>
    <w:p w14:paraId="19212A31" w14:textId="64C52CA6" w:rsidR="00FD5361" w:rsidRDefault="00FD5361" w:rsidP="00FD5361">
      <w:r>
        <w:t>A une valeur considérable en cas de normalité de l’examen otologique</w:t>
      </w:r>
    </w:p>
    <w:p w14:paraId="51956629" w14:textId="0866CBF0" w:rsidR="00FD5361" w:rsidRDefault="00FD5361" w:rsidP="00FD5361">
      <w:r>
        <w:t>Doit être rechercher un cancer oropharyngé ou hypopharyngé</w:t>
      </w:r>
    </w:p>
    <w:p w14:paraId="6AAA6F9E" w14:textId="0D5C3D03" w:rsidR="00FD5361" w:rsidRDefault="00FD5361" w:rsidP="00FD5361">
      <w:r>
        <w:t>Nerf de Jacobson : relie le pharynx et l’oreille</w:t>
      </w:r>
    </w:p>
    <w:p w14:paraId="7FC6EC4B" w14:textId="3F361269" w:rsidR="00FD5361" w:rsidRDefault="00FD5361" w:rsidP="00FD5361">
      <w:pPr>
        <w:pStyle w:val="Titre4"/>
      </w:pPr>
      <w:r>
        <w:t>Hypoacousie unilatérale</w:t>
      </w:r>
    </w:p>
    <w:p w14:paraId="186D23F5" w14:textId="35C978A8" w:rsidR="00FD5361" w:rsidRPr="00FD5361" w:rsidRDefault="00FD5361" w:rsidP="00FD5361">
      <w:pPr>
        <w:rPr>
          <w:b/>
          <w:bCs/>
        </w:rPr>
      </w:pPr>
      <w:r w:rsidRPr="00FD5361">
        <w:rPr>
          <w:b/>
          <w:bCs/>
        </w:rPr>
        <w:t>Otoscopie : bulles aériques au niveau du tympan</w:t>
      </w:r>
    </w:p>
    <w:p w14:paraId="0D2683D3" w14:textId="26773038" w:rsidR="00FD5361" w:rsidRPr="00FD5361" w:rsidRDefault="00FD5361" w:rsidP="00FD5361">
      <w:pPr>
        <w:rPr>
          <w:b/>
          <w:bCs/>
        </w:rPr>
      </w:pPr>
      <w:r w:rsidRPr="00FD5361">
        <w:rPr>
          <w:b/>
          <w:bCs/>
        </w:rPr>
        <w:t>En rapport avec une otite séromuqueuse</w:t>
      </w:r>
    </w:p>
    <w:p w14:paraId="478483C4" w14:textId="3D8E089E" w:rsidR="00FD5361" w:rsidRDefault="00FD5361" w:rsidP="00FD5361">
      <w:r>
        <w:t xml:space="preserve">Doit faire rechercher un cancer du cavum obstruant l’orifice tubaire d’un côté </w:t>
      </w:r>
    </w:p>
    <w:p w14:paraId="0CED6E7E" w14:textId="58DB2C75" w:rsidR="00FD5361" w:rsidRDefault="006263D0" w:rsidP="006263D0">
      <w:pPr>
        <w:pStyle w:val="Titre4"/>
      </w:pPr>
      <w:r>
        <w:t>Hémorragie buccale</w:t>
      </w:r>
    </w:p>
    <w:p w14:paraId="6B456250" w14:textId="08973C09" w:rsidR="006263D0" w:rsidRDefault="006263D0" w:rsidP="006263D0">
      <w:r>
        <w:t>Salive striée de sang</w:t>
      </w:r>
    </w:p>
    <w:p w14:paraId="2CE6CE7B" w14:textId="52320F86" w:rsidR="006263D0" w:rsidRDefault="006263D0" w:rsidP="006263D0">
      <w:r>
        <w:t xml:space="preserve">Inquiète le patient et constitue le motif de consultation </w:t>
      </w:r>
    </w:p>
    <w:p w14:paraId="658A6005" w14:textId="7BDDA24C" w:rsidR="006263D0" w:rsidRDefault="006263D0" w:rsidP="006263D0">
      <w:r>
        <w:t>En faveur d’une tumeur déjà évoluée</w:t>
      </w:r>
    </w:p>
    <w:p w14:paraId="00A83B91" w14:textId="01279806" w:rsidR="006263D0" w:rsidRDefault="006263D0" w:rsidP="006263D0">
      <w:pPr>
        <w:pStyle w:val="Titre4"/>
      </w:pPr>
      <w:r>
        <w:t>Dysphonie</w:t>
      </w:r>
    </w:p>
    <w:p w14:paraId="5ADA03B3" w14:textId="09718EE9" w:rsidR="006263D0" w:rsidRDefault="006263D0" w:rsidP="006263D0">
      <w:r>
        <w:t xml:space="preserve">Peut être en rapport avec des lésion bénignes : nodules, polype </w:t>
      </w:r>
    </w:p>
    <w:p w14:paraId="64842E6C" w14:textId="763BBCBA" w:rsidR="006263D0" w:rsidRDefault="006263D0" w:rsidP="006263D0">
      <w:r>
        <w:t xml:space="preserve">Toute dysphonie qui persiste plus de 15 jours impose une LDS + biopsie </w:t>
      </w:r>
    </w:p>
    <w:p w14:paraId="6CC427B9" w14:textId="07A0A496" w:rsidR="00765892" w:rsidRDefault="00765892" w:rsidP="00765892">
      <w:pPr>
        <w:pStyle w:val="Titre4"/>
      </w:pPr>
      <w:r>
        <w:t>Dyspnée laryngée</w:t>
      </w:r>
    </w:p>
    <w:p w14:paraId="38D6BAA0" w14:textId="1614117E" w:rsidR="00765892" w:rsidRDefault="00765892" w:rsidP="00765892">
      <w:r>
        <w:t>Bradypnée inspiratoire avec tirage et cornage</w:t>
      </w:r>
    </w:p>
    <w:p w14:paraId="2AD19E1A" w14:textId="040A5977" w:rsidR="00765892" w:rsidRDefault="00765892" w:rsidP="00765892">
      <w:r>
        <w:t>Tumeur du larynx ou extension d’une tumeur de voisinage</w:t>
      </w:r>
    </w:p>
    <w:p w14:paraId="27C0EBF6" w14:textId="6ACE2AFC" w:rsidR="00765892" w:rsidRDefault="00765892" w:rsidP="00765892">
      <w:pPr>
        <w:pStyle w:val="Titre4"/>
      </w:pPr>
      <w:r>
        <w:t>Symptôme rhinologiques</w:t>
      </w:r>
    </w:p>
    <w:p w14:paraId="68FB45D7" w14:textId="5C07EA83" w:rsidR="00765892" w:rsidRDefault="00765892" w:rsidP="00765892">
      <w:r>
        <w:t>En rapport avec une tumeur sinusienne ou endonasale</w:t>
      </w:r>
    </w:p>
    <w:p w14:paraId="5F46178B" w14:textId="19C8CE02" w:rsidR="00765892" w:rsidRDefault="00765892" w:rsidP="00765892">
      <w:pPr>
        <w:numPr>
          <w:ilvl w:val="1"/>
          <w:numId w:val="8"/>
        </w:numPr>
      </w:pPr>
      <w:r>
        <w:t>Obstruction nasale</w:t>
      </w:r>
    </w:p>
    <w:p w14:paraId="4793F440" w14:textId="28DBF3A7" w:rsidR="00765892" w:rsidRDefault="00765892" w:rsidP="00765892">
      <w:pPr>
        <w:numPr>
          <w:ilvl w:val="1"/>
          <w:numId w:val="8"/>
        </w:numPr>
      </w:pPr>
      <w:r>
        <w:t>Rhinorrhée purulent d’apparition récente</w:t>
      </w:r>
    </w:p>
    <w:p w14:paraId="1CE30EBA" w14:textId="300F9817" w:rsidR="00765892" w:rsidRDefault="00765892" w:rsidP="00765892">
      <w:pPr>
        <w:numPr>
          <w:ilvl w:val="1"/>
          <w:numId w:val="8"/>
        </w:numPr>
      </w:pPr>
      <w:r>
        <w:t>Epistaxis ou mouchage sanglant</w:t>
      </w:r>
    </w:p>
    <w:p w14:paraId="614A7236" w14:textId="1173DD6A" w:rsidR="00765892" w:rsidRDefault="00765892" w:rsidP="00765892">
      <w:pPr>
        <w:pStyle w:val="Titre3"/>
      </w:pPr>
      <w:r>
        <w:lastRenderedPageBreak/>
        <w:t>Symptômes physiques</w:t>
      </w:r>
    </w:p>
    <w:p w14:paraId="56F8DC52" w14:textId="4D0C0E24" w:rsidR="00765892" w:rsidRDefault="00765892" w:rsidP="00765892">
      <w:pPr>
        <w:pStyle w:val="Titre4"/>
      </w:pPr>
      <w:r>
        <w:t>Une ulcération ou une formation bourgeonnante</w:t>
      </w:r>
    </w:p>
    <w:p w14:paraId="070540ED" w14:textId="02992E89" w:rsidR="00765892" w:rsidRDefault="00765892" w:rsidP="00765892">
      <w:r>
        <w:t>Ulcération gingivo-buccale ou linguale</w:t>
      </w:r>
    </w:p>
    <w:p w14:paraId="499AFBE3" w14:textId="4851CA75" w:rsidR="00765892" w:rsidRDefault="00765892" w:rsidP="00765892">
      <w:pPr>
        <w:numPr>
          <w:ilvl w:val="1"/>
          <w:numId w:val="8"/>
        </w:numPr>
      </w:pPr>
      <w:r>
        <w:t>Souvent mis sur le compte d’un appareil dentaire ou d’un chicot</w:t>
      </w:r>
    </w:p>
    <w:p w14:paraId="0EF9A0A9" w14:textId="3333A878" w:rsidR="00765892" w:rsidRDefault="00765892" w:rsidP="00765892">
      <w:pPr>
        <w:numPr>
          <w:ilvl w:val="1"/>
          <w:numId w:val="8"/>
        </w:numPr>
      </w:pPr>
      <w:r>
        <w:t>Apprécier : ‘infiltration, induration, la tendance au saignement</w:t>
      </w:r>
    </w:p>
    <w:p w14:paraId="1FAA4A9C" w14:textId="1DA41A3B" w:rsidR="00765892" w:rsidRDefault="00765892" w:rsidP="00765892">
      <w:r>
        <w:t>Ulcération des tonsille palatine ou de racine de la langue</w:t>
      </w:r>
    </w:p>
    <w:p w14:paraId="7780962C" w14:textId="28CE1382" w:rsidR="00765892" w:rsidRDefault="00765892" w:rsidP="00765892">
      <w:pPr>
        <w:numPr>
          <w:ilvl w:val="1"/>
          <w:numId w:val="8"/>
        </w:numPr>
      </w:pPr>
      <w:r>
        <w:t>en rapport avec une tumeur avancé et évidente</w:t>
      </w:r>
    </w:p>
    <w:p w14:paraId="151D2807" w14:textId="56B8D783" w:rsidR="00765892" w:rsidRDefault="00765892" w:rsidP="00765892">
      <w:pPr>
        <w:pStyle w:val="Titre4"/>
      </w:pPr>
      <w:r>
        <w:t>Adénopathie cervicale</w:t>
      </w:r>
    </w:p>
    <w:p w14:paraId="09F61156" w14:textId="7A8EBFEE" w:rsidR="00765892" w:rsidRDefault="00765892" w:rsidP="00765892">
      <w:r>
        <w:t>Noter les caractère : ferme, indolore, mobile ou fixée, unique, ou multiple</w:t>
      </w:r>
    </w:p>
    <w:p w14:paraId="0DE83420" w14:textId="4D5E5943" w:rsidR="00765892" w:rsidRDefault="00765892" w:rsidP="00765892">
      <w:r>
        <w:t xml:space="preserve">Préciser la topographie, la date d’apparition et l’évolution </w:t>
      </w:r>
    </w:p>
    <w:p w14:paraId="37932D7E" w14:textId="43427240" w:rsidR="00765892" w:rsidRDefault="00765892" w:rsidP="00765892">
      <w:pPr>
        <w:pStyle w:val="Titre2"/>
      </w:pPr>
      <w:r>
        <w:t xml:space="preserve">Conclusion </w:t>
      </w:r>
    </w:p>
    <w:p w14:paraId="6725E786" w14:textId="1D202D79" w:rsidR="00AD68C6" w:rsidRDefault="00E3437B">
      <w:pPr>
        <w:numPr>
          <w:ilvl w:val="0"/>
          <w:numId w:val="0"/>
        </w:numPr>
      </w:pPr>
      <w:r>
        <w:br w:type="page"/>
      </w:r>
      <w:r w:rsidR="00AD68C6">
        <w:lastRenderedPageBreak/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