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05BD" w:rsidRDefault="000805BD" w:rsidP="000805BD">
      <w:pPr>
        <w:pStyle w:val="Titre"/>
      </w:pPr>
      <w:bookmarkStart w:id="0" w:name="_Toc100607095"/>
      <w:bookmarkStart w:id="1" w:name="_Toc100286817"/>
      <w:r>
        <w:t>PHARMACOCINETIQUE 4</w:t>
      </w:r>
      <w:r>
        <w:br/>
        <w:t>METABOLISME OU BIOTRANSFORMATION DES MEDICAMENTS</w:t>
      </w:r>
      <w:bookmarkEnd w:id="0"/>
      <w:bookmarkEnd w:id="1"/>
    </w:p>
    <w:p w:rsidR="000805BD" w:rsidRDefault="000805BD" w:rsidP="000805BD">
      <w:pPr>
        <w:pStyle w:val="Titre2"/>
        <w:rPr>
          <w:b/>
        </w:rPr>
      </w:pPr>
      <w:bookmarkStart w:id="2" w:name="_Toc100607096"/>
      <w:bookmarkStart w:id="3" w:name="_Toc100286818"/>
      <w:r>
        <w:rPr>
          <w:b/>
        </w:rPr>
        <w:t>INTRODUCTION</w:t>
      </w:r>
      <w:bookmarkEnd w:id="2"/>
      <w:bookmarkEnd w:id="3"/>
    </w:p>
    <w:p w:rsidR="000805BD" w:rsidRDefault="000805BD" w:rsidP="000805BD">
      <w:pPr>
        <w:numPr>
          <w:ilvl w:val="0"/>
          <w:numId w:val="2"/>
        </w:numPr>
        <w:ind w:left="1440"/>
      </w:pPr>
      <w:r>
        <w:t>Métabolisme ou biotransformation, 3ème phase de la pharmacocinétique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Médi</w:t>
      </w:r>
      <w:r>
        <w:t>c</w:t>
      </w:r>
      <w:r>
        <w:t>ament (PA) pouvant être métabolisé ou non dans l’organisme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Métabolisme avec intervention des enzymes déjà présentes dans l’organisme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Métabolites pouvant être uniques ou multiples, actifs ou inactifs, ...</w:t>
      </w:r>
      <w:r>
        <w:br/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Intérêts :</w:t>
      </w:r>
    </w:p>
    <w:p w:rsidR="000805BD" w:rsidRDefault="000805BD" w:rsidP="000805BD">
      <w:pPr>
        <w:numPr>
          <w:ilvl w:val="1"/>
          <w:numId w:val="2"/>
        </w:numPr>
        <w:ind w:left="2160"/>
      </w:pPr>
      <w:r>
        <w:t>Connaissance de l’évolution d’un médicament dans l’organisme</w:t>
      </w:r>
    </w:p>
    <w:p w:rsidR="000805BD" w:rsidRDefault="000805BD" w:rsidP="000805BD">
      <w:pPr>
        <w:numPr>
          <w:ilvl w:val="1"/>
          <w:numId w:val="2"/>
        </w:numPr>
        <w:ind w:left="2160"/>
      </w:pPr>
      <w:r>
        <w:t>Prévention des interférences pharmacocinétiques</w:t>
      </w:r>
    </w:p>
    <w:p w:rsidR="000805BD" w:rsidRDefault="000805BD" w:rsidP="000805BD">
      <w:pPr>
        <w:numPr>
          <w:ilvl w:val="1"/>
          <w:numId w:val="2"/>
        </w:numPr>
        <w:ind w:left="2160"/>
      </w:pPr>
      <w:r>
        <w:t>Réduction des effets indésirables</w:t>
      </w:r>
    </w:p>
    <w:p w:rsidR="000805BD" w:rsidRDefault="000805BD" w:rsidP="000805BD">
      <w:pPr>
        <w:numPr>
          <w:ilvl w:val="1"/>
          <w:numId w:val="2"/>
        </w:numPr>
        <w:ind w:left="2160"/>
      </w:pPr>
      <w:r>
        <w:t>Prescription rationnelle des médicaments dans la prévention, traitement, explorations, ...</w:t>
      </w:r>
      <w:r>
        <w:br/>
      </w:r>
    </w:p>
    <w:p w:rsidR="000805BD" w:rsidRDefault="000805BD" w:rsidP="000805BD">
      <w:pPr>
        <w:pStyle w:val="Titre3"/>
        <w:rPr>
          <w:b/>
        </w:rPr>
      </w:pPr>
      <w:bookmarkStart w:id="4" w:name="_Toc100607097"/>
      <w:r>
        <w:rPr>
          <w:b/>
        </w:rPr>
        <w:t>Objectifs</w:t>
      </w:r>
      <w:bookmarkEnd w:id="4"/>
    </w:p>
    <w:p w:rsidR="000805BD" w:rsidRDefault="000805BD" w:rsidP="000805BD">
      <w:pPr>
        <w:numPr>
          <w:ilvl w:val="0"/>
          <w:numId w:val="2"/>
        </w:numPr>
        <w:ind w:left="1440"/>
      </w:pPr>
      <w:r>
        <w:t>Donner les différentes voies de biotransformation des médicaments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Citer les facteurs capables de modifier le métabolisme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Préciser les importances thérapeutiques du métabolisme des médicaments</w:t>
      </w:r>
      <w:r>
        <w:br/>
      </w:r>
    </w:p>
    <w:p w:rsidR="000805BD" w:rsidRDefault="000805BD" w:rsidP="000805BD">
      <w:pPr>
        <w:pStyle w:val="Titre2"/>
        <w:rPr>
          <w:b/>
        </w:rPr>
      </w:pPr>
      <w:bookmarkStart w:id="5" w:name="_Toc100607098"/>
      <w:bookmarkStart w:id="6" w:name="_Toc100286819"/>
      <w:r>
        <w:rPr>
          <w:b/>
        </w:rPr>
        <w:t>REACTIONS DU METABOLISME DES MEDICAMENTS</w:t>
      </w:r>
      <w:bookmarkEnd w:id="5"/>
      <w:bookmarkEnd w:id="6"/>
    </w:p>
    <w:p w:rsidR="000805BD" w:rsidRDefault="000805BD" w:rsidP="000805BD">
      <w:pPr>
        <w:numPr>
          <w:ilvl w:val="0"/>
          <w:numId w:val="2"/>
        </w:numPr>
        <w:ind w:left="1440"/>
        <w:rPr>
          <w:b/>
          <w:bCs/>
        </w:rPr>
      </w:pPr>
      <w:r>
        <w:rPr>
          <w:b/>
          <w:bCs/>
        </w:rPr>
        <w:t>Biotransformations</w:t>
      </w:r>
    </w:p>
    <w:p w:rsidR="000805BD" w:rsidRDefault="000805BD" w:rsidP="000805BD">
      <w:pPr>
        <w:numPr>
          <w:ilvl w:val="1"/>
          <w:numId w:val="2"/>
        </w:numPr>
        <w:ind w:left="2160"/>
      </w:pPr>
      <w:r>
        <w:lastRenderedPageBreak/>
        <w:t>Etant généralement des réactions de défense de l’organisme conduisant à des molécules moins toxiques et moins actives que la molécule parente</w:t>
      </w:r>
    </w:p>
    <w:p w:rsidR="000805BD" w:rsidRDefault="000805BD" w:rsidP="000805BD">
      <w:pPr>
        <w:numPr>
          <w:ilvl w:val="1"/>
          <w:numId w:val="2"/>
        </w:numPr>
        <w:ind w:left="2160"/>
      </w:pPr>
      <w:r>
        <w:t>Pouvant néanmoins conduire à des métabolites plus actifs ou plus toxiques que le médicament administré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Fonction principale des biotransformations étant de rendre hydrosolubles des molécules lipophiles afin d’en favoriser l’élimination de l’organisme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Molécules lipophiles pouvant passer les membranes pendant les phases d’absorption et de distribution</w:t>
      </w:r>
    </w:p>
    <w:p w:rsidR="000805BD" w:rsidRDefault="000805BD" w:rsidP="000805BD">
      <w:pPr>
        <w:numPr>
          <w:ilvl w:val="1"/>
          <w:numId w:val="2"/>
        </w:numPr>
        <w:ind w:left="2160"/>
      </w:pPr>
      <w:r>
        <w:t>Forme inchangée non éliminée par voie rénale, mais par la bile</w:t>
      </w:r>
    </w:p>
    <w:p w:rsidR="000805BD" w:rsidRDefault="000805BD" w:rsidP="000805BD">
      <w:pPr>
        <w:numPr>
          <w:ilvl w:val="1"/>
          <w:numId w:val="2"/>
        </w:numPr>
        <w:ind w:left="2160"/>
      </w:pPr>
      <w:r>
        <w:t xml:space="preserve">Formes </w:t>
      </w:r>
      <w:r>
        <w:t>bio transformées</w:t>
      </w:r>
      <w:r>
        <w:t xml:space="preserve"> excrétion rénale ou biliaire</w:t>
      </w:r>
      <w:r>
        <w:br/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Participation de différents tissus à cette biotransformation (peau, poumon, rein, intestin, etc.)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Biotransformation surtout au niveau hépatique, avec les enzymes microsomiales ou extra-microsomiales</w:t>
      </w:r>
      <w:r>
        <w:rPr>
          <w:noProof/>
          <w:lang w:eastAsia="fr-FR"/>
        </w:rPr>
        <w:lastRenderedPageBreak/>
        <w:drawing>
          <wp:inline distT="0" distB="0" distL="0" distR="0">
            <wp:extent cx="5762625" cy="5429250"/>
            <wp:effectExtent l="0" t="0" r="9525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:rsidR="000805BD" w:rsidRDefault="000805BD" w:rsidP="000805BD">
      <w:pPr>
        <w:pStyle w:val="Titre3"/>
        <w:rPr>
          <w:b/>
        </w:rPr>
      </w:pPr>
      <w:bookmarkStart w:id="7" w:name="_Toc100607099"/>
      <w:r>
        <w:rPr>
          <w:b/>
        </w:rPr>
        <w:t>Réactions de la phase I</w:t>
      </w:r>
      <w:bookmarkEnd w:id="7"/>
    </w:p>
    <w:p w:rsidR="000805BD" w:rsidRDefault="000805BD" w:rsidP="000805BD">
      <w:pPr>
        <w:pStyle w:val="Titre4"/>
        <w:rPr>
          <w:b/>
        </w:rPr>
      </w:pPr>
      <w:r>
        <w:rPr>
          <w:b/>
        </w:rPr>
        <w:t>Réactions d’oxydation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Réactions d’oxydation majoritairement localisées dans les microsomes hépatiques, avec implication de :</w:t>
      </w:r>
    </w:p>
    <w:p w:rsidR="000805BD" w:rsidRDefault="000805BD" w:rsidP="000805BD">
      <w:pPr>
        <w:numPr>
          <w:ilvl w:val="1"/>
          <w:numId w:val="2"/>
        </w:numPr>
        <w:ind w:left="2160"/>
      </w:pPr>
      <w:r>
        <w:t>Cyt P450 (protéine P.M 50.000, localisation dans le réticulum endoplasmique lisse REL)</w:t>
      </w:r>
    </w:p>
    <w:p w:rsidR="000805BD" w:rsidRDefault="000805BD" w:rsidP="000805BD">
      <w:pPr>
        <w:numPr>
          <w:ilvl w:val="1"/>
          <w:numId w:val="2"/>
        </w:numPr>
        <w:ind w:left="2160"/>
      </w:pPr>
      <w:r>
        <w:t>Cyt P450 réductase</w:t>
      </w:r>
    </w:p>
    <w:p w:rsidR="000805BD" w:rsidRDefault="000805BD" w:rsidP="000805BD">
      <w:pPr>
        <w:numPr>
          <w:ilvl w:val="1"/>
          <w:numId w:val="2"/>
        </w:numPr>
        <w:ind w:left="2160"/>
      </w:pPr>
      <w:r>
        <w:t>NADPH + H+</w:t>
      </w:r>
    </w:p>
    <w:p w:rsidR="000805BD" w:rsidRDefault="000805BD" w:rsidP="000805BD">
      <w:pPr>
        <w:numPr>
          <w:ilvl w:val="1"/>
          <w:numId w:val="2"/>
        </w:numPr>
        <w:ind w:left="2160"/>
      </w:pPr>
      <w:r>
        <w:t>O2</w:t>
      </w:r>
      <w:r>
        <w:br/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Cyp 450 :</w:t>
      </w:r>
    </w:p>
    <w:p w:rsidR="000805BD" w:rsidRDefault="000805BD" w:rsidP="000805BD">
      <w:pPr>
        <w:numPr>
          <w:ilvl w:val="1"/>
          <w:numId w:val="2"/>
        </w:numPr>
        <w:ind w:left="2160"/>
      </w:pPr>
      <w:r>
        <w:lastRenderedPageBreak/>
        <w:t>Existence de nombreuses isoformes</w:t>
      </w:r>
    </w:p>
    <w:p w:rsidR="000805BD" w:rsidRDefault="000805BD" w:rsidP="000805BD">
      <w:pPr>
        <w:numPr>
          <w:ilvl w:val="1"/>
          <w:numId w:val="2"/>
        </w:numPr>
        <w:ind w:left="2160"/>
      </w:pPr>
      <w:r>
        <w:t>Classification :</w:t>
      </w:r>
    </w:p>
    <w:p w:rsidR="000805BD" w:rsidRDefault="000805BD" w:rsidP="000805BD">
      <w:pPr>
        <w:numPr>
          <w:ilvl w:val="2"/>
          <w:numId w:val="2"/>
        </w:numPr>
        <w:ind w:left="2880"/>
      </w:pPr>
      <w:r>
        <w:t>Familles 1, 2, 3, 4</w:t>
      </w:r>
    </w:p>
    <w:p w:rsidR="000805BD" w:rsidRDefault="000805BD" w:rsidP="000805BD">
      <w:pPr>
        <w:numPr>
          <w:ilvl w:val="2"/>
          <w:numId w:val="2"/>
        </w:numPr>
        <w:ind w:left="2880"/>
      </w:pPr>
      <w:r>
        <w:t>Sous-familles A, B, ... F</w:t>
      </w:r>
    </w:p>
    <w:p w:rsidR="000805BD" w:rsidRDefault="000805BD" w:rsidP="000805BD">
      <w:pPr>
        <w:numPr>
          <w:ilvl w:val="2"/>
          <w:numId w:val="2"/>
        </w:numPr>
        <w:ind w:left="2880"/>
      </w:pPr>
      <w:r>
        <w:t>Isoformes 1, 2, 3, ... 20</w:t>
      </w:r>
    </w:p>
    <w:p w:rsidR="000805BD" w:rsidRDefault="000805BD" w:rsidP="000805BD">
      <w:pPr>
        <w:numPr>
          <w:ilvl w:val="1"/>
          <w:numId w:val="2"/>
        </w:numPr>
        <w:ind w:left="2160"/>
      </w:pPr>
      <w:r>
        <w:t>Exemples : CYP 2D6, CYP 3A4</w:t>
      </w:r>
    </w:p>
    <w:p w:rsidR="000805BD" w:rsidRDefault="000805BD" w:rsidP="000805BD">
      <w:pPr>
        <w:ind w:left="0" w:firstLine="0"/>
      </w:pPr>
    </w:p>
    <w:p w:rsidR="000805BD" w:rsidRDefault="000805BD" w:rsidP="000805BD">
      <w:pPr>
        <w:ind w:left="0" w:firstLine="0"/>
      </w:pPr>
      <w:r>
        <w:rPr>
          <w:noProof/>
          <w:lang w:eastAsia="fr-FR"/>
        </w:rPr>
        <w:lastRenderedPageBreak/>
        <w:drawing>
          <wp:inline distT="0" distB="0" distL="0" distR="0">
            <wp:extent cx="5762625" cy="7677150"/>
            <wp:effectExtent l="0" t="0" r="9525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67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eastAsia="fr-FR"/>
        </w:rPr>
        <w:lastRenderedPageBreak/>
        <w:drawing>
          <wp:inline distT="0" distB="0" distL="0" distR="0">
            <wp:extent cx="5762625" cy="7677150"/>
            <wp:effectExtent l="0" t="0" r="9525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67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Isoformes de CYP450 avec :</w:t>
      </w:r>
    </w:p>
    <w:p w:rsidR="000805BD" w:rsidRDefault="000805BD" w:rsidP="000805BD">
      <w:pPr>
        <w:numPr>
          <w:ilvl w:val="1"/>
          <w:numId w:val="2"/>
        </w:numPr>
        <w:ind w:left="2160"/>
      </w:pPr>
      <w:r>
        <w:t xml:space="preserve">Sélectivité de substrat </w:t>
      </w:r>
    </w:p>
    <w:p w:rsidR="000805BD" w:rsidRDefault="000805BD" w:rsidP="000805BD">
      <w:pPr>
        <w:numPr>
          <w:ilvl w:val="1"/>
          <w:numId w:val="2"/>
        </w:numPr>
        <w:ind w:left="2160"/>
      </w:pPr>
      <w:r>
        <w:t>Inducteurs enzymatiques</w:t>
      </w:r>
    </w:p>
    <w:p w:rsidR="000805BD" w:rsidRDefault="000805BD" w:rsidP="000805BD">
      <w:pPr>
        <w:numPr>
          <w:ilvl w:val="1"/>
          <w:numId w:val="2"/>
        </w:numPr>
        <w:ind w:left="2160"/>
      </w:pPr>
      <w:r>
        <w:lastRenderedPageBreak/>
        <w:t>Inhibiteurs enzymatiques</w:t>
      </w:r>
      <w:r>
        <w:br/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CYP450 :</w:t>
      </w:r>
    </w:p>
    <w:p w:rsidR="000805BD" w:rsidRDefault="000805BD" w:rsidP="000805BD">
      <w:pPr>
        <w:numPr>
          <w:ilvl w:val="1"/>
          <w:numId w:val="2"/>
        </w:numPr>
        <w:ind w:left="2160"/>
      </w:pPr>
      <w:r>
        <w:t>Induction de synthèse de novo par certains produits, médicaments, polluants environnementaux, ...</w:t>
      </w:r>
    </w:p>
    <w:p w:rsidR="000805BD" w:rsidRDefault="000805BD" w:rsidP="000805BD">
      <w:pPr>
        <w:numPr>
          <w:ilvl w:val="1"/>
          <w:numId w:val="2"/>
        </w:numPr>
        <w:ind w:left="2160"/>
      </w:pPr>
      <w:r>
        <w:t>Conséquences avec augmentation de la vitesse de biotransformation des molécules empruntant cette voie :</w:t>
      </w:r>
    </w:p>
    <w:p w:rsidR="000805BD" w:rsidRDefault="000805BD" w:rsidP="000805BD">
      <w:pPr>
        <w:numPr>
          <w:ilvl w:val="2"/>
          <w:numId w:val="2"/>
        </w:numPr>
        <w:ind w:left="2880"/>
      </w:pPr>
      <w:r>
        <w:t>Médicaments actifs : diminution de la forme active</w:t>
      </w:r>
    </w:p>
    <w:p w:rsidR="000805BD" w:rsidRDefault="000805BD" w:rsidP="000805BD">
      <w:pPr>
        <w:numPr>
          <w:ilvl w:val="2"/>
          <w:numId w:val="2"/>
        </w:numPr>
        <w:ind w:left="2880"/>
      </w:pPr>
      <w:r>
        <w:t>Prodrogues</w:t>
      </w:r>
      <w:bookmarkStart w:id="8" w:name="_GoBack"/>
      <w:bookmarkEnd w:id="8"/>
      <w:r>
        <w:t xml:space="preserve"> : augmentation de la forme active</w:t>
      </w:r>
    </w:p>
    <w:p w:rsidR="000805BD" w:rsidRDefault="000805BD" w:rsidP="000805BD">
      <w:pPr>
        <w:numPr>
          <w:ilvl w:val="1"/>
          <w:numId w:val="2"/>
        </w:numPr>
        <w:ind w:left="2160"/>
      </w:pPr>
      <w:r>
        <w:t>Inhibition de synthèse de novo par certains produits et médicaments</w:t>
      </w:r>
    </w:p>
    <w:p w:rsidR="000805BD" w:rsidRDefault="000805BD" w:rsidP="000805BD">
      <w:pPr>
        <w:numPr>
          <w:ilvl w:val="1"/>
          <w:numId w:val="2"/>
        </w:numPr>
        <w:ind w:left="2160"/>
      </w:pPr>
      <w:r>
        <w:t>Conséquences :</w:t>
      </w:r>
    </w:p>
    <w:p w:rsidR="000805BD" w:rsidRDefault="000805BD" w:rsidP="000805BD">
      <w:pPr>
        <w:numPr>
          <w:ilvl w:val="2"/>
          <w:numId w:val="2"/>
        </w:numPr>
        <w:ind w:left="2880"/>
      </w:pPr>
      <w:r>
        <w:t>Médicaments actifs : augmentation du taux de la molécule mère, augmentation des effets pharmacologiques, augmentation de la toxicité</w:t>
      </w:r>
    </w:p>
    <w:p w:rsidR="000805BD" w:rsidRDefault="000805BD" w:rsidP="000805BD">
      <w:pPr>
        <w:numPr>
          <w:ilvl w:val="2"/>
          <w:numId w:val="2"/>
        </w:numPr>
        <w:ind w:left="2880"/>
      </w:pPr>
      <w:r>
        <w:t>Prodrogues : diminution de la forme active, diminution des effets pharmacologiques</w:t>
      </w:r>
    </w:p>
    <w:p w:rsidR="000805BD" w:rsidRDefault="000805BD" w:rsidP="000805BD">
      <w:pPr>
        <w:ind w:left="0" w:firstLine="0"/>
      </w:pPr>
      <w:r>
        <w:rPr>
          <w:noProof/>
          <w:lang w:eastAsia="fr-FR"/>
        </w:rPr>
        <w:drawing>
          <wp:inline distT="0" distB="0" distL="0" distR="0">
            <wp:extent cx="5762625" cy="4324350"/>
            <wp:effectExtent l="0" t="0" r="9525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05BD" w:rsidRDefault="000805BD" w:rsidP="000805BD">
      <w:pPr>
        <w:ind w:left="0" w:firstLine="0"/>
      </w:pPr>
      <w:r>
        <w:rPr>
          <w:noProof/>
          <w:lang w:eastAsia="fr-FR"/>
        </w:rPr>
        <w:lastRenderedPageBreak/>
        <w:drawing>
          <wp:inline distT="0" distB="0" distL="0" distR="0">
            <wp:extent cx="5762625" cy="4324350"/>
            <wp:effectExtent l="0" t="0" r="9525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05BD" w:rsidRDefault="000805BD" w:rsidP="000805BD">
      <w:pPr>
        <w:ind w:left="0" w:firstLine="0"/>
      </w:pPr>
      <w:r>
        <w:rPr>
          <w:noProof/>
          <w:lang w:eastAsia="fr-FR"/>
        </w:rPr>
        <w:drawing>
          <wp:inline distT="0" distB="0" distL="0" distR="0">
            <wp:extent cx="5762625" cy="4324350"/>
            <wp:effectExtent l="0" t="0" r="9525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05BD" w:rsidRDefault="000805BD" w:rsidP="000805BD">
      <w:pPr>
        <w:ind w:left="0" w:firstLine="0"/>
      </w:pPr>
      <w:r>
        <w:rPr>
          <w:noProof/>
          <w:lang w:eastAsia="fr-FR"/>
        </w:rPr>
        <w:lastRenderedPageBreak/>
        <w:drawing>
          <wp:inline distT="0" distB="0" distL="0" distR="0">
            <wp:extent cx="5762625" cy="4324350"/>
            <wp:effectExtent l="0" t="0" r="9525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05BD" w:rsidRDefault="000805BD" w:rsidP="000805BD">
      <w:pPr>
        <w:ind w:left="0" w:firstLine="0"/>
      </w:pPr>
      <w:r>
        <w:rPr>
          <w:noProof/>
          <w:lang w:eastAsia="fr-FR"/>
        </w:rPr>
        <w:drawing>
          <wp:inline distT="0" distB="0" distL="0" distR="0">
            <wp:extent cx="5762625" cy="4324350"/>
            <wp:effectExtent l="0" t="0" r="9525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05BD" w:rsidRDefault="000805BD" w:rsidP="000805BD">
      <w:pPr>
        <w:ind w:left="0" w:firstLine="0"/>
      </w:pPr>
    </w:p>
    <w:p w:rsidR="000805BD" w:rsidRDefault="000805BD" w:rsidP="000805BD">
      <w:pPr>
        <w:pStyle w:val="Titre4"/>
        <w:rPr>
          <w:b/>
        </w:rPr>
      </w:pPr>
      <w:r>
        <w:rPr>
          <w:b/>
        </w:rPr>
        <w:t>Réactions de réduction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Réactions de réduction : beaucoup moins fréquentes et moins bien explorées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Déroulement pas exclusivement au niveau hépatique, mais également dans l’intestin via la flore bactérienne (contribution importante)</w:t>
      </w:r>
    </w:p>
    <w:p w:rsidR="000805BD" w:rsidRDefault="000805BD" w:rsidP="000805BD">
      <w:pPr>
        <w:ind w:left="0" w:firstLine="0"/>
      </w:pPr>
    </w:p>
    <w:p w:rsidR="000805BD" w:rsidRDefault="000805BD" w:rsidP="000805BD">
      <w:pPr>
        <w:ind w:left="0" w:firstLine="0"/>
      </w:pPr>
      <w:r>
        <w:rPr>
          <w:noProof/>
          <w:lang w:eastAsia="fr-FR"/>
        </w:rPr>
        <w:lastRenderedPageBreak/>
        <w:drawing>
          <wp:inline distT="0" distB="0" distL="0" distR="0">
            <wp:extent cx="5762625" cy="7677150"/>
            <wp:effectExtent l="0" t="0" r="9525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67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05BD" w:rsidRDefault="000805BD" w:rsidP="000805BD">
      <w:pPr>
        <w:ind w:left="0" w:firstLine="0"/>
      </w:pPr>
    </w:p>
    <w:p w:rsidR="000805BD" w:rsidRDefault="000805BD" w:rsidP="000805BD">
      <w:pPr>
        <w:pStyle w:val="Titre4"/>
        <w:rPr>
          <w:b/>
        </w:rPr>
      </w:pPr>
      <w:r>
        <w:rPr>
          <w:b/>
        </w:rPr>
        <w:t>Réactions d’hydrolyse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Hydrolyse : une voie métabolique banale, intervenant dans le foie, dans différents tissus et même dans le plasma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lastRenderedPageBreak/>
        <w:t xml:space="preserve">Enzymes : </w:t>
      </w:r>
      <w:proofErr w:type="spellStart"/>
      <w:r>
        <w:t>amidases</w:t>
      </w:r>
      <w:proofErr w:type="spellEnd"/>
      <w:r>
        <w:t xml:space="preserve">, estérases, phosphatases, ... (estérases et </w:t>
      </w:r>
      <w:proofErr w:type="spellStart"/>
      <w:r>
        <w:t>amidases</w:t>
      </w:r>
      <w:proofErr w:type="spellEnd"/>
      <w:r>
        <w:t xml:space="preserve"> non spécifiques se trouvant dans les cellules du foie, de l’intestin ou dans le plasma)</w:t>
      </w:r>
    </w:p>
    <w:p w:rsidR="000805BD" w:rsidRDefault="000805BD" w:rsidP="000805BD">
      <w:pPr>
        <w:ind w:left="0" w:firstLine="0"/>
      </w:pPr>
    </w:p>
    <w:p w:rsidR="000805BD" w:rsidRDefault="000805BD" w:rsidP="000805BD">
      <w:pPr>
        <w:ind w:left="0" w:firstLine="0"/>
      </w:pPr>
      <w:r>
        <w:rPr>
          <w:noProof/>
          <w:lang w:eastAsia="fr-FR"/>
        </w:rPr>
        <w:drawing>
          <wp:inline distT="0" distB="0" distL="0" distR="0">
            <wp:extent cx="5762625" cy="7677150"/>
            <wp:effectExtent l="0" t="0" r="9525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67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05BD" w:rsidRDefault="000805BD" w:rsidP="000805BD">
      <w:pPr>
        <w:pStyle w:val="Titre4"/>
        <w:rPr>
          <w:b/>
        </w:rPr>
      </w:pPr>
      <w:r>
        <w:rPr>
          <w:b/>
        </w:rPr>
        <w:lastRenderedPageBreak/>
        <w:t>Réactions de décarboxylation</w:t>
      </w:r>
    </w:p>
    <w:p w:rsidR="000805BD" w:rsidRDefault="000805BD" w:rsidP="000805BD">
      <w:pPr>
        <w:ind w:left="0" w:firstLine="0"/>
      </w:pPr>
      <w:r>
        <w:rPr>
          <w:noProof/>
          <w:lang w:eastAsia="fr-FR"/>
        </w:rPr>
        <w:drawing>
          <wp:inline distT="0" distB="0" distL="0" distR="0">
            <wp:extent cx="5762625" cy="4324350"/>
            <wp:effectExtent l="0" t="0" r="9525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05BD" w:rsidRDefault="000805BD" w:rsidP="000805BD">
      <w:pPr>
        <w:ind w:left="0" w:firstLine="0"/>
      </w:pPr>
    </w:p>
    <w:p w:rsidR="000805BD" w:rsidRDefault="000805BD" w:rsidP="000805BD">
      <w:pPr>
        <w:pStyle w:val="Sous-titre"/>
      </w:pPr>
      <w:r>
        <w:t>Résumé - Réactions de la phase I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 xml:space="preserve">Oxydation, réduction, hydrolyse et décarboxylation </w:t>
      </w:r>
      <w:r>
        <w:rPr>
          <w:rFonts w:ascii="Segoe UI Symbol" w:hAnsi="Segoe UI Symbol" w:cs="Segoe UI Symbol"/>
        </w:rPr>
        <w:t>➡</w:t>
      </w:r>
      <w:r>
        <w:t xml:space="preserve"> conduire </w:t>
      </w:r>
      <w:r>
        <w:rPr>
          <w:rFonts w:cs="Arial"/>
        </w:rPr>
        <w:t>à</w:t>
      </w:r>
      <w:r>
        <w:t xml:space="preserve"> la formation de d</w:t>
      </w:r>
      <w:r>
        <w:rPr>
          <w:rFonts w:cs="Arial"/>
        </w:rPr>
        <w:t>é</w:t>
      </w:r>
      <w:r>
        <w:t>riv</w:t>
      </w:r>
      <w:r>
        <w:rPr>
          <w:rFonts w:cs="Arial"/>
        </w:rPr>
        <w:t>é</w:t>
      </w:r>
      <w:r>
        <w:t>s dont les groupements fonctionnels sont le plus souvent des hydroxyles (-OH), des amines (-NH2) ou des carboxyles (-COOH)</w:t>
      </w:r>
    </w:p>
    <w:p w:rsidR="000805BD" w:rsidRDefault="000805BD" w:rsidP="000805BD">
      <w:pPr>
        <w:ind w:left="0" w:firstLine="0"/>
      </w:pPr>
    </w:p>
    <w:p w:rsidR="000805BD" w:rsidRDefault="000805BD" w:rsidP="000805BD">
      <w:pPr>
        <w:pStyle w:val="Titre3"/>
        <w:rPr>
          <w:b/>
        </w:rPr>
      </w:pPr>
      <w:bookmarkStart w:id="9" w:name="_Toc100607100"/>
      <w:r>
        <w:rPr>
          <w:b/>
        </w:rPr>
        <w:t>Réactions de la phase II</w:t>
      </w:r>
      <w:bookmarkEnd w:id="9"/>
    </w:p>
    <w:p w:rsidR="000805BD" w:rsidRDefault="000805BD" w:rsidP="000805BD">
      <w:pPr>
        <w:numPr>
          <w:ilvl w:val="0"/>
          <w:numId w:val="2"/>
        </w:numPr>
        <w:ind w:left="1440"/>
      </w:pPr>
      <w:r>
        <w:t>Réactions de conjugaison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Mécanismes de conjugaison chez l’homme faisant généralement appel à de petites molécules de l’organisme pour donner des dérivés hydrosolubles facilement éliminés</w:t>
      </w:r>
    </w:p>
    <w:p w:rsidR="000805BD" w:rsidRDefault="000805BD" w:rsidP="000805BD">
      <w:pPr>
        <w:ind w:left="0" w:firstLine="0"/>
      </w:pPr>
    </w:p>
    <w:p w:rsidR="000805BD" w:rsidRDefault="000805BD" w:rsidP="000805BD">
      <w:pPr>
        <w:pStyle w:val="Titre4"/>
        <w:rPr>
          <w:b/>
        </w:rPr>
      </w:pPr>
      <w:r>
        <w:rPr>
          <w:b/>
        </w:rPr>
        <w:lastRenderedPageBreak/>
        <w:t xml:space="preserve">Conjugaison avec l’acide </w:t>
      </w:r>
      <w:proofErr w:type="spellStart"/>
      <w:r>
        <w:rPr>
          <w:b/>
        </w:rPr>
        <w:t>glucuronique</w:t>
      </w:r>
      <w:proofErr w:type="spellEnd"/>
    </w:p>
    <w:p w:rsidR="000805BD" w:rsidRDefault="000805BD" w:rsidP="000805BD">
      <w:pPr>
        <w:numPr>
          <w:ilvl w:val="0"/>
          <w:numId w:val="2"/>
        </w:numPr>
        <w:ind w:left="1440"/>
      </w:pPr>
      <w:r>
        <w:t xml:space="preserve">Conjugaison covalente avec l’acide </w:t>
      </w:r>
      <w:proofErr w:type="spellStart"/>
      <w:r>
        <w:t>glucuronique</w:t>
      </w:r>
      <w:proofErr w:type="spellEnd"/>
      <w:r>
        <w:t xml:space="preserve"> sous le contrôle de la </w:t>
      </w:r>
      <w:proofErr w:type="spellStart"/>
      <w:r>
        <w:t>super-famille</w:t>
      </w:r>
      <w:proofErr w:type="spellEnd"/>
      <w:r>
        <w:t xml:space="preserve"> UDP glucuronyl-transférase (UGT </w:t>
      </w:r>
      <w:proofErr w:type="spellStart"/>
      <w:r>
        <w:t>uridine</w:t>
      </w:r>
      <w:proofErr w:type="spellEnd"/>
      <w:r>
        <w:t xml:space="preserve"> 5’-diphospho-glucuronyltransférase)</w:t>
      </w:r>
      <w:r>
        <w:br/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 xml:space="preserve">Enzymes </w:t>
      </w:r>
    </w:p>
    <w:p w:rsidR="000805BD" w:rsidRDefault="000805BD" w:rsidP="000805BD">
      <w:pPr>
        <w:numPr>
          <w:ilvl w:val="1"/>
          <w:numId w:val="2"/>
        </w:numPr>
        <w:ind w:left="2160"/>
      </w:pPr>
      <w:r>
        <w:t>Se trouvant dans le foie, liées à la membrane et confinées au réticulum endoplasmique lisse (REL) et au compartiment nucléaire de la cellule</w:t>
      </w:r>
    </w:p>
    <w:p w:rsidR="000805BD" w:rsidRDefault="000805BD" w:rsidP="000805BD">
      <w:pPr>
        <w:numPr>
          <w:ilvl w:val="1"/>
          <w:numId w:val="2"/>
        </w:numPr>
        <w:ind w:left="2160"/>
      </w:pPr>
      <w:r>
        <w:t>Intervenant principalement dans la transformation de la bilirubine non conjuguée (libre) en bilirubine conjuguée</w:t>
      </w:r>
    </w:p>
    <w:p w:rsidR="000805BD" w:rsidRDefault="000805BD" w:rsidP="000805BD">
      <w:pPr>
        <w:ind w:left="0" w:firstLine="0"/>
      </w:pPr>
    </w:p>
    <w:p w:rsidR="000805BD" w:rsidRDefault="000805BD" w:rsidP="000805BD">
      <w:pPr>
        <w:ind w:left="0" w:firstLine="0"/>
      </w:pPr>
      <w:r>
        <w:rPr>
          <w:noProof/>
          <w:lang w:eastAsia="fr-FR"/>
        </w:rPr>
        <w:lastRenderedPageBreak/>
        <w:drawing>
          <wp:inline distT="0" distB="0" distL="0" distR="0">
            <wp:extent cx="5762625" cy="7677150"/>
            <wp:effectExtent l="0" t="0" r="9525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67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05BD" w:rsidRDefault="000805BD" w:rsidP="000805BD">
      <w:pPr>
        <w:ind w:left="0" w:firstLine="0"/>
      </w:pPr>
    </w:p>
    <w:p w:rsidR="000805BD" w:rsidRDefault="000805BD" w:rsidP="000805BD">
      <w:pPr>
        <w:ind w:left="0" w:firstLine="0"/>
      </w:pPr>
      <w:r>
        <w:rPr>
          <w:noProof/>
          <w:lang w:eastAsia="fr-FR"/>
        </w:rPr>
        <w:lastRenderedPageBreak/>
        <w:drawing>
          <wp:inline distT="0" distB="0" distL="0" distR="0">
            <wp:extent cx="5762625" cy="7677150"/>
            <wp:effectExtent l="0" t="0" r="9525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67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Ensemble/famille d’enzymes acceptant une large gamme de substrats tels que les phénols, alcools, amines et acides gras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Famille UGT avec 8 familles, 2 sous familles et plus de 22 isoformes connues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lastRenderedPageBreak/>
        <w:t xml:space="preserve">Rôle important dans la </w:t>
      </w:r>
      <w:proofErr w:type="spellStart"/>
      <w:r>
        <w:t>glucuronoconjugaison</w:t>
      </w:r>
      <w:proofErr w:type="spellEnd"/>
      <w:r>
        <w:t xml:space="preserve"> de nombreux médicaments et xénobiotiques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Isoformes avec substrats, inhibiteurs - inducteurs</w:t>
      </w:r>
    </w:p>
    <w:p w:rsidR="000805BD" w:rsidRDefault="000805BD" w:rsidP="000805BD">
      <w:pPr>
        <w:ind w:left="0" w:firstLine="0"/>
      </w:pPr>
    </w:p>
    <w:p w:rsidR="000805BD" w:rsidRDefault="000805BD" w:rsidP="000805BD">
      <w:pPr>
        <w:ind w:left="0" w:firstLine="0"/>
      </w:pPr>
      <w:r>
        <w:rPr>
          <w:noProof/>
          <w:lang w:eastAsia="fr-FR"/>
        </w:rPr>
        <w:lastRenderedPageBreak/>
        <w:drawing>
          <wp:inline distT="0" distB="0" distL="0" distR="0">
            <wp:extent cx="5762625" cy="7677150"/>
            <wp:effectExtent l="0" t="0" r="9525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67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*</w:t>
      </w:r>
    </w:p>
    <w:p w:rsidR="000805BD" w:rsidRDefault="000805BD" w:rsidP="000805BD">
      <w:pPr>
        <w:ind w:left="0" w:firstLine="0"/>
      </w:pPr>
      <w:r>
        <w:rPr>
          <w:noProof/>
          <w:lang w:eastAsia="fr-FR"/>
        </w:rPr>
        <w:lastRenderedPageBreak/>
        <w:drawing>
          <wp:inline distT="0" distB="0" distL="0" distR="0">
            <wp:extent cx="5762625" cy="7677150"/>
            <wp:effectExtent l="0" t="0" r="9525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67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05BD" w:rsidRDefault="000805BD" w:rsidP="000805BD">
      <w:pPr>
        <w:ind w:left="0" w:firstLine="0"/>
      </w:pPr>
      <w:r>
        <w:rPr>
          <w:noProof/>
          <w:lang w:eastAsia="fr-FR"/>
        </w:rPr>
        <w:lastRenderedPageBreak/>
        <w:drawing>
          <wp:inline distT="0" distB="0" distL="0" distR="0">
            <wp:extent cx="5762625" cy="4324350"/>
            <wp:effectExtent l="0" t="0" r="9525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05BD" w:rsidRDefault="000805BD" w:rsidP="000805BD">
      <w:pPr>
        <w:ind w:left="0" w:firstLine="0"/>
      </w:pPr>
      <w:r>
        <w:rPr>
          <w:noProof/>
          <w:lang w:eastAsia="fr-FR"/>
        </w:rPr>
        <w:lastRenderedPageBreak/>
        <w:drawing>
          <wp:inline distT="0" distB="0" distL="0" distR="0">
            <wp:extent cx="5762625" cy="7677150"/>
            <wp:effectExtent l="0" t="0" r="9525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67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05BD" w:rsidRDefault="000805BD" w:rsidP="000805BD">
      <w:pPr>
        <w:ind w:left="0" w:firstLine="0"/>
      </w:pPr>
    </w:p>
    <w:p w:rsidR="000805BD" w:rsidRDefault="000805BD" w:rsidP="000805BD">
      <w:pPr>
        <w:pStyle w:val="Titre4"/>
        <w:rPr>
          <w:b/>
        </w:rPr>
      </w:pPr>
      <w:r>
        <w:rPr>
          <w:b/>
        </w:rPr>
        <w:t>Conjugaison avec des acides aminés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Conjugaison essentiellement avec le glycocolle chez l’homme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lastRenderedPageBreak/>
        <w:t xml:space="preserve">Conjugaison chez certaines espèces animales avec la glutamine, </w:t>
      </w:r>
      <w:proofErr w:type="spellStart"/>
      <w:r>
        <w:t>arginie</w:t>
      </w:r>
      <w:proofErr w:type="spellEnd"/>
      <w:r>
        <w:t xml:space="preserve">, </w:t>
      </w:r>
      <w:proofErr w:type="spellStart"/>
      <w:r>
        <w:t>ornithine</w:t>
      </w:r>
      <w:proofErr w:type="spellEnd"/>
      <w:r>
        <w:t>, acide aromatique hétérocyclique</w:t>
      </w:r>
    </w:p>
    <w:p w:rsidR="000805BD" w:rsidRDefault="000805BD" w:rsidP="000805BD">
      <w:pPr>
        <w:ind w:left="0" w:firstLine="0"/>
      </w:pPr>
    </w:p>
    <w:p w:rsidR="000805BD" w:rsidRDefault="000805BD" w:rsidP="000805BD">
      <w:pPr>
        <w:pStyle w:val="Titre4"/>
        <w:rPr>
          <w:b/>
        </w:rPr>
      </w:pPr>
      <w:r>
        <w:rPr>
          <w:b/>
        </w:rPr>
        <w:t>Conjugaison avec l’acide sulfurique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 xml:space="preserve">Phénols, certains alcools aliphatiques </w:t>
      </w:r>
      <w:r>
        <w:rPr>
          <w:rFonts w:ascii="Segoe UI Symbol" w:hAnsi="Segoe UI Symbol" w:cs="Segoe UI Symbol"/>
        </w:rPr>
        <w:t>➡</w:t>
      </w:r>
      <w:r>
        <w:t xml:space="preserve"> esters-sulfates (ex. : chloramph</w:t>
      </w:r>
      <w:r>
        <w:rPr>
          <w:rFonts w:cs="Arial"/>
        </w:rPr>
        <w:t>é</w:t>
      </w:r>
      <w:r>
        <w:t xml:space="preserve">nicol, </w:t>
      </w:r>
      <w:proofErr w:type="spellStart"/>
      <w:r>
        <w:t>oestrone</w:t>
      </w:r>
      <w:proofErr w:type="spellEnd"/>
      <w:r>
        <w:t>, ...)</w:t>
      </w:r>
    </w:p>
    <w:p w:rsidR="000805BD" w:rsidRDefault="000805BD" w:rsidP="000805BD">
      <w:pPr>
        <w:ind w:left="0" w:firstLine="0"/>
      </w:pPr>
    </w:p>
    <w:p w:rsidR="000805BD" w:rsidRDefault="000805BD" w:rsidP="000805BD">
      <w:pPr>
        <w:pStyle w:val="Titre4"/>
        <w:rPr>
          <w:b/>
        </w:rPr>
      </w:pPr>
      <w:r>
        <w:rPr>
          <w:b/>
        </w:rPr>
        <w:t>Conjugaison avec l’acide acétique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Réalisation de l’acétylation dans de nombreux tissus avec :</w:t>
      </w:r>
    </w:p>
    <w:p w:rsidR="000805BD" w:rsidRDefault="000805BD" w:rsidP="000805BD">
      <w:pPr>
        <w:numPr>
          <w:ilvl w:val="1"/>
          <w:numId w:val="2"/>
        </w:numPr>
        <w:ind w:left="2160"/>
      </w:pPr>
      <w:r>
        <w:t>Amines primaires (histamine,...)</w:t>
      </w:r>
    </w:p>
    <w:p w:rsidR="000805BD" w:rsidRDefault="000805BD" w:rsidP="000805BD">
      <w:pPr>
        <w:numPr>
          <w:ilvl w:val="1"/>
          <w:numId w:val="2"/>
        </w:numPr>
        <w:ind w:left="2160"/>
      </w:pPr>
      <w:r>
        <w:t>Aminoacides non physiologiques (hydrazides, sulfamides comme sulfanilamide, ...)</w:t>
      </w:r>
      <w:r>
        <w:br/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Acétylation des sulfamides</w:t>
      </w:r>
    </w:p>
    <w:p w:rsidR="000805BD" w:rsidRDefault="000805BD" w:rsidP="000805BD">
      <w:pPr>
        <w:numPr>
          <w:ilvl w:val="1"/>
          <w:numId w:val="2"/>
        </w:numPr>
        <w:ind w:left="2160"/>
      </w:pPr>
      <w:r>
        <w:t>Obtention de dérivés moins solubles dans l’eau que le produit de départ</w:t>
      </w:r>
    </w:p>
    <w:p w:rsidR="000805BD" w:rsidRDefault="000805BD" w:rsidP="000805BD">
      <w:pPr>
        <w:numPr>
          <w:ilvl w:val="1"/>
          <w:numId w:val="2"/>
        </w:numPr>
        <w:ind w:left="2160"/>
      </w:pPr>
      <w:r>
        <w:t>Risque de cristallisation des métabolites au niveau des reins</w:t>
      </w:r>
      <w:r>
        <w:br/>
      </w:r>
    </w:p>
    <w:p w:rsidR="000805BD" w:rsidRDefault="000805BD" w:rsidP="000805BD">
      <w:pPr>
        <w:pStyle w:val="Titre4"/>
        <w:rPr>
          <w:b/>
        </w:rPr>
      </w:pPr>
      <w:r>
        <w:rPr>
          <w:b/>
        </w:rPr>
        <w:t>Conjugaison avec un groupement méthyle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Voie métabolique d’importance assez faible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Exemple : O-méthylation sur un hydroxyle phénolique dans le cas des catécholamines sous l’influence de la COMT (catéchol-</w:t>
      </w:r>
      <w:proofErr w:type="spellStart"/>
      <w:r>
        <w:t>oxyméthyl</w:t>
      </w:r>
      <w:proofErr w:type="spellEnd"/>
      <w:r>
        <w:t>-transférase)</w:t>
      </w:r>
    </w:p>
    <w:p w:rsidR="000805BD" w:rsidRDefault="000805BD" w:rsidP="000805BD">
      <w:pPr>
        <w:ind w:left="0" w:firstLine="0"/>
      </w:pPr>
    </w:p>
    <w:p w:rsidR="000805BD" w:rsidRDefault="000805BD" w:rsidP="000805BD">
      <w:pPr>
        <w:pStyle w:val="Titre4"/>
        <w:rPr>
          <w:b/>
        </w:rPr>
      </w:pPr>
      <w:r>
        <w:rPr>
          <w:b/>
        </w:rPr>
        <w:lastRenderedPageBreak/>
        <w:t>Conjugaison avec le glutathion</w:t>
      </w:r>
    </w:p>
    <w:p w:rsidR="000805BD" w:rsidRDefault="000805BD" w:rsidP="000805BD">
      <w:pPr>
        <w:ind w:left="0" w:firstLine="0"/>
      </w:pPr>
      <w:r>
        <w:rPr>
          <w:noProof/>
          <w:lang w:eastAsia="fr-FR"/>
        </w:rPr>
        <w:drawing>
          <wp:inline distT="0" distB="0" distL="0" distR="0">
            <wp:extent cx="5762625" cy="7677150"/>
            <wp:effectExtent l="0" t="0" r="9525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67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Glutathion (</w:t>
      </w:r>
      <w:proofErr w:type="spellStart"/>
      <w:r>
        <w:t>tripeptide</w:t>
      </w:r>
      <w:proofErr w:type="spellEnd"/>
      <w:r>
        <w:t xml:space="preserve"> </w:t>
      </w:r>
      <w:r>
        <w:rPr>
          <w:rFonts w:ascii="Symbol" w:hAnsi="Symbol"/>
        </w:rPr>
        <w:t></w:t>
      </w:r>
      <w:r>
        <w:t>Glu-</w:t>
      </w:r>
      <w:proofErr w:type="spellStart"/>
      <w:r>
        <w:t>Cys</w:t>
      </w:r>
      <w:proofErr w:type="spellEnd"/>
      <w:r>
        <w:t>-</w:t>
      </w:r>
      <w:proofErr w:type="spellStart"/>
      <w:r>
        <w:t>Gly</w:t>
      </w:r>
      <w:proofErr w:type="spellEnd"/>
      <w:r>
        <w:t xml:space="preserve"> : liaison de Glu par le carbonyle </w:t>
      </w:r>
      <w:r>
        <w:rPr>
          <w:rFonts w:ascii="Symbol" w:hAnsi="Symbol"/>
        </w:rPr>
        <w:t></w:t>
      </w:r>
      <w:r>
        <w:t xml:space="preserve">) jouant un rôle central dans la défense cellulaire contre le dioxygène et ses dérivés actifs (couple </w:t>
      </w:r>
      <w:proofErr w:type="spellStart"/>
      <w:r>
        <w:t>Red-Ox</w:t>
      </w:r>
      <w:proofErr w:type="spellEnd"/>
      <w:r>
        <w:t xml:space="preserve"> très efficace contre les peroxydes)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lastRenderedPageBreak/>
        <w:t>Conjugaison se faisant via des enzymes : glutathion-S-transférases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Intervention dans le recyclage des vitamines C et E et au maintien de leurs activités respectives au sein des tissus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Amélioration de l’élimination des toxiques (alcool), des polluants (tabac, pesticides), des métaux lourds (mercure, plomb, cadmium) et certains médicaments comme le paracétamol</w:t>
      </w:r>
    </w:p>
    <w:p w:rsidR="000805BD" w:rsidRDefault="000805BD" w:rsidP="000805BD">
      <w:pPr>
        <w:ind w:left="0" w:firstLine="0"/>
      </w:pPr>
    </w:p>
    <w:p w:rsidR="000805BD" w:rsidRDefault="000805BD" w:rsidP="000805BD">
      <w:pPr>
        <w:ind w:left="0" w:firstLine="0"/>
      </w:pPr>
      <w:r>
        <w:rPr>
          <w:noProof/>
          <w:lang w:eastAsia="fr-FR"/>
        </w:rPr>
        <w:lastRenderedPageBreak/>
        <w:drawing>
          <wp:inline distT="0" distB="0" distL="0" distR="0">
            <wp:extent cx="5762625" cy="7677150"/>
            <wp:effectExtent l="0" t="0" r="952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67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05BD" w:rsidRDefault="000805BD" w:rsidP="000805BD">
      <w:pPr>
        <w:ind w:left="0" w:firstLine="0"/>
      </w:pPr>
    </w:p>
    <w:p w:rsidR="000805BD" w:rsidRDefault="000805BD" w:rsidP="000805BD">
      <w:pPr>
        <w:pStyle w:val="Titre2"/>
        <w:rPr>
          <w:b/>
        </w:rPr>
      </w:pPr>
      <w:bookmarkStart w:id="10" w:name="_Toc100607101"/>
      <w:bookmarkStart w:id="11" w:name="_Toc100286820"/>
      <w:r>
        <w:rPr>
          <w:b/>
        </w:rPr>
        <w:t>MULTIPLICITE DU METABOLISME</w:t>
      </w:r>
      <w:bookmarkEnd w:id="10"/>
      <w:bookmarkEnd w:id="11"/>
    </w:p>
    <w:p w:rsidR="000805BD" w:rsidRDefault="000805BD" w:rsidP="000805BD">
      <w:pPr>
        <w:numPr>
          <w:ilvl w:val="0"/>
          <w:numId w:val="2"/>
        </w:numPr>
        <w:ind w:left="1440"/>
      </w:pPr>
      <w:r>
        <w:t>Médicament en général avec plusieurs types de transformations simultanées ou successives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rPr>
          <w:noProof/>
          <w:lang w:eastAsia="fr-FR"/>
        </w:rPr>
        <w:lastRenderedPageBreak/>
        <w:drawing>
          <wp:inline distT="0" distB="0" distL="0" distR="0">
            <wp:extent cx="5762625" cy="4600575"/>
            <wp:effectExtent l="0" t="0" r="9525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Exemples chez l’homme :</w:t>
      </w:r>
    </w:p>
    <w:p w:rsidR="000805BD" w:rsidRDefault="000805BD" w:rsidP="000805BD">
      <w:pPr>
        <w:numPr>
          <w:ilvl w:val="1"/>
          <w:numId w:val="2"/>
        </w:numPr>
        <w:ind w:left="2160"/>
      </w:pPr>
      <w:r>
        <w:t>Chlorpromazine avec plus de 50 métabolites différents</w:t>
      </w:r>
    </w:p>
    <w:p w:rsidR="000805BD" w:rsidRDefault="000805BD" w:rsidP="000805BD">
      <w:pPr>
        <w:numPr>
          <w:ilvl w:val="1"/>
          <w:numId w:val="2"/>
        </w:numPr>
        <w:ind w:left="2160"/>
      </w:pPr>
      <w:r>
        <w:t>Thalidomide avec plus de 17 métabolites</w:t>
      </w:r>
    </w:p>
    <w:p w:rsidR="000805BD" w:rsidRDefault="000805BD" w:rsidP="000805BD">
      <w:pPr>
        <w:ind w:left="0" w:firstLine="0"/>
      </w:pPr>
    </w:p>
    <w:p w:rsidR="000805BD" w:rsidRDefault="000805BD" w:rsidP="000805BD">
      <w:pPr>
        <w:pStyle w:val="Titre2"/>
        <w:rPr>
          <w:b/>
        </w:rPr>
      </w:pPr>
      <w:bookmarkStart w:id="12" w:name="_Toc100607102"/>
      <w:bookmarkStart w:id="13" w:name="_Toc100286821"/>
      <w:r>
        <w:rPr>
          <w:b/>
        </w:rPr>
        <w:lastRenderedPageBreak/>
        <w:t>CONSEQUENCES DU METABOLISME DES MEDICAMENTS</w:t>
      </w:r>
      <w:bookmarkEnd w:id="12"/>
      <w:bookmarkEnd w:id="13"/>
    </w:p>
    <w:p w:rsidR="000805BD" w:rsidRDefault="000805BD" w:rsidP="000805BD">
      <w:pPr>
        <w:numPr>
          <w:ilvl w:val="0"/>
          <w:numId w:val="2"/>
        </w:numPr>
        <w:ind w:left="1440"/>
      </w:pPr>
      <w:r>
        <w:rPr>
          <w:noProof/>
          <w:lang w:eastAsia="fr-FR"/>
        </w:rPr>
        <w:drawing>
          <wp:inline distT="0" distB="0" distL="0" distR="0">
            <wp:extent cx="5762625" cy="7677150"/>
            <wp:effectExtent l="0" t="0" r="952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67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Conséquences : changements de taille, de liposolubilité, de charge ou de polarité</w:t>
      </w:r>
    </w:p>
    <w:p w:rsidR="000805BD" w:rsidRDefault="000805BD" w:rsidP="000805BD">
      <w:pPr>
        <w:ind w:left="0" w:firstLine="0"/>
      </w:pPr>
    </w:p>
    <w:p w:rsidR="000805BD" w:rsidRDefault="000805BD" w:rsidP="000805BD">
      <w:pPr>
        <w:pStyle w:val="Titre2"/>
        <w:rPr>
          <w:b/>
        </w:rPr>
      </w:pPr>
      <w:bookmarkStart w:id="14" w:name="_Toc100607103"/>
      <w:bookmarkStart w:id="15" w:name="_Toc100286822"/>
      <w:r>
        <w:rPr>
          <w:b/>
        </w:rPr>
        <w:lastRenderedPageBreak/>
        <w:t>FACTEURS CAPABLES DE MODIFIER LE METABOLISME</w:t>
      </w:r>
      <w:bookmarkEnd w:id="14"/>
      <w:bookmarkEnd w:id="15"/>
    </w:p>
    <w:p w:rsidR="000805BD" w:rsidRDefault="000805BD" w:rsidP="000805BD">
      <w:pPr>
        <w:pStyle w:val="Titre3"/>
        <w:rPr>
          <w:b/>
        </w:rPr>
      </w:pPr>
      <w:bookmarkStart w:id="16" w:name="_Toc100607104"/>
      <w:r>
        <w:rPr>
          <w:b/>
        </w:rPr>
        <w:t>Facteurs intrinsèques</w:t>
      </w:r>
      <w:bookmarkEnd w:id="16"/>
    </w:p>
    <w:p w:rsidR="000805BD" w:rsidRDefault="000805BD" w:rsidP="000805BD">
      <w:pPr>
        <w:pStyle w:val="Titre4"/>
        <w:rPr>
          <w:b/>
        </w:rPr>
      </w:pPr>
      <w:r>
        <w:rPr>
          <w:b/>
        </w:rPr>
        <w:t>Âge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Prématurés - nouveau-nés et nourrissons : organes immatures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Sujets âgés : diminution de la masse tissulaire active des organes et appareils</w:t>
      </w:r>
    </w:p>
    <w:p w:rsidR="000805BD" w:rsidRDefault="000805BD" w:rsidP="000805BD">
      <w:pPr>
        <w:ind w:left="0" w:firstLine="0"/>
      </w:pPr>
    </w:p>
    <w:p w:rsidR="000805BD" w:rsidRDefault="000805BD" w:rsidP="000805BD">
      <w:pPr>
        <w:pStyle w:val="Titre4"/>
        <w:rPr>
          <w:b/>
        </w:rPr>
      </w:pPr>
      <w:r>
        <w:rPr>
          <w:b/>
        </w:rPr>
        <w:t>Genre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Possibilité de différence dans le métabolisme des médicaments en fonction du Genre</w:t>
      </w:r>
    </w:p>
    <w:p w:rsidR="000805BD" w:rsidRDefault="000805BD" w:rsidP="000805BD">
      <w:pPr>
        <w:numPr>
          <w:ilvl w:val="0"/>
          <w:numId w:val="2"/>
        </w:numPr>
        <w:ind w:left="1440"/>
      </w:pPr>
      <w:proofErr w:type="spellStart"/>
      <w:r>
        <w:t>Oestrogène</w:t>
      </w:r>
      <w:proofErr w:type="spellEnd"/>
      <w:r>
        <w:t xml:space="preserve"> se comportant comme des inducteurs enzymatiques (diminution de taux </w:t>
      </w:r>
      <w:proofErr w:type="spellStart"/>
      <w:r>
        <w:t>plasmatiquex</w:t>
      </w:r>
      <w:proofErr w:type="spellEnd"/>
      <w:r>
        <w:t xml:space="preserve"> d’antiépileptiques (Lamotrigine -LAMICTAL*, </w:t>
      </w:r>
      <w:proofErr w:type="spellStart"/>
      <w:r>
        <w:t>Valproate</w:t>
      </w:r>
      <w:proofErr w:type="spellEnd"/>
      <w:r>
        <w:t xml:space="preserve"> sodique - DEPAKINE* avec risque d’apparition de convulsions), antihypertenseurs, ...)</w:t>
      </w:r>
    </w:p>
    <w:p w:rsidR="000805BD" w:rsidRDefault="000805BD" w:rsidP="000805BD">
      <w:pPr>
        <w:ind w:left="0" w:firstLine="0"/>
      </w:pPr>
      <w:r>
        <w:rPr>
          <w:noProof/>
          <w:lang w:eastAsia="fr-FR"/>
        </w:rPr>
        <w:lastRenderedPageBreak/>
        <w:drawing>
          <wp:inline distT="0" distB="0" distL="0" distR="0">
            <wp:extent cx="5762625" cy="7677150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67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05BD" w:rsidRDefault="000805BD" w:rsidP="000805BD">
      <w:pPr>
        <w:pStyle w:val="Titre4"/>
        <w:rPr>
          <w:b/>
        </w:rPr>
      </w:pPr>
      <w:r>
        <w:rPr>
          <w:b/>
        </w:rPr>
        <w:t>Conditions génétiques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Influence de la constitution génétique sur les biotransformations des médicaments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lastRenderedPageBreak/>
        <w:t xml:space="preserve">Existence de catégories d’individus métabolisant rapidement ou lentement par rapport à d’autres (ex. </w:t>
      </w:r>
      <w:proofErr w:type="spellStart"/>
      <w:r>
        <w:t>Acétyleurs</w:t>
      </w:r>
      <w:proofErr w:type="spellEnd"/>
      <w:r>
        <w:t xml:space="preserve"> lents ou rapides des isoniazides)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Présence ou non d’enzyme(s) impliquées dans le métabolisme</w:t>
      </w:r>
    </w:p>
    <w:p w:rsidR="000805BD" w:rsidRDefault="000805BD" w:rsidP="000805BD">
      <w:pPr>
        <w:ind w:left="0" w:firstLine="0"/>
      </w:pPr>
    </w:p>
    <w:p w:rsidR="000805BD" w:rsidRDefault="000805BD" w:rsidP="000805BD">
      <w:pPr>
        <w:pStyle w:val="Titre4"/>
        <w:rPr>
          <w:b/>
        </w:rPr>
      </w:pPr>
      <w:r>
        <w:rPr>
          <w:b/>
        </w:rPr>
        <w:t>Etats pathologiques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Atteinte d’organes, tissus, ... plus particulièrement les organes impliqués dans le métabolisme</w:t>
      </w:r>
    </w:p>
    <w:p w:rsidR="000805BD" w:rsidRDefault="000805BD" w:rsidP="000805BD">
      <w:pPr>
        <w:ind w:left="0" w:firstLine="0"/>
      </w:pPr>
    </w:p>
    <w:p w:rsidR="000805BD" w:rsidRDefault="000805BD" w:rsidP="000805BD">
      <w:pPr>
        <w:pStyle w:val="Titre3"/>
        <w:rPr>
          <w:b/>
        </w:rPr>
      </w:pPr>
      <w:bookmarkStart w:id="17" w:name="_Toc100607105"/>
      <w:r>
        <w:rPr>
          <w:b/>
        </w:rPr>
        <w:t>Facteurs extrinsèques</w:t>
      </w:r>
      <w:bookmarkEnd w:id="17"/>
    </w:p>
    <w:p w:rsidR="000805BD" w:rsidRDefault="000805BD" w:rsidP="000805BD">
      <w:pPr>
        <w:pStyle w:val="Titre4"/>
        <w:rPr>
          <w:b/>
        </w:rPr>
      </w:pPr>
      <w:r>
        <w:rPr>
          <w:b/>
        </w:rPr>
        <w:t>Dose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Variation de l’effet pouvant être observée selon la dose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Exemple : acide para-amino-salicylique (PAS) :</w:t>
      </w:r>
    </w:p>
    <w:p w:rsidR="000805BD" w:rsidRDefault="000805BD" w:rsidP="000805BD">
      <w:pPr>
        <w:numPr>
          <w:ilvl w:val="1"/>
          <w:numId w:val="2"/>
        </w:numPr>
        <w:ind w:left="2160"/>
      </w:pPr>
      <w:r>
        <w:t xml:space="preserve">Forte concentration </w:t>
      </w:r>
      <w:r>
        <w:rPr>
          <w:rFonts w:ascii="Segoe UI Symbol" w:hAnsi="Segoe UI Symbol" w:cs="Segoe UI Symbol"/>
        </w:rPr>
        <w:t>➡</w:t>
      </w:r>
      <w:r>
        <w:t xml:space="preserve"> </w:t>
      </w:r>
      <w:proofErr w:type="spellStart"/>
      <w:r>
        <w:t>glycyl</w:t>
      </w:r>
      <w:proofErr w:type="spellEnd"/>
      <w:r>
        <w:t xml:space="preserve"> PAS (plus actif sur BK)</w:t>
      </w:r>
    </w:p>
    <w:p w:rsidR="000805BD" w:rsidRDefault="000805BD" w:rsidP="000805BD">
      <w:pPr>
        <w:numPr>
          <w:ilvl w:val="1"/>
          <w:numId w:val="2"/>
        </w:numPr>
        <w:ind w:left="2160"/>
      </w:pPr>
      <w:r>
        <w:t xml:space="preserve">Faible concentration </w:t>
      </w:r>
      <w:r>
        <w:rPr>
          <w:rFonts w:ascii="Segoe UI Symbol" w:hAnsi="Segoe UI Symbol" w:cs="Segoe UI Symbol"/>
        </w:rPr>
        <w:t>➡</w:t>
      </w:r>
      <w:r>
        <w:t xml:space="preserve"> ac</w:t>
      </w:r>
      <w:r>
        <w:rPr>
          <w:rFonts w:cs="Arial"/>
        </w:rPr>
        <w:t>é</w:t>
      </w:r>
      <w:r>
        <w:t>tyl PAS (moins actif sur BK)</w:t>
      </w:r>
    </w:p>
    <w:p w:rsidR="000805BD" w:rsidRDefault="000805BD" w:rsidP="000805BD">
      <w:pPr>
        <w:ind w:left="0" w:firstLine="0"/>
      </w:pPr>
    </w:p>
    <w:p w:rsidR="000805BD" w:rsidRDefault="000805BD" w:rsidP="000805BD">
      <w:pPr>
        <w:pStyle w:val="Titre4"/>
        <w:rPr>
          <w:b/>
        </w:rPr>
      </w:pPr>
      <w:r>
        <w:rPr>
          <w:b/>
        </w:rPr>
        <w:t>Association avec un autre médicament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Possibilité d’interactions au niveau du métabolisme si médicaments administrés en même temps :</w:t>
      </w:r>
    </w:p>
    <w:p w:rsidR="000805BD" w:rsidRDefault="000805BD" w:rsidP="000805BD">
      <w:pPr>
        <w:numPr>
          <w:ilvl w:val="1"/>
          <w:numId w:val="2"/>
        </w:numPr>
        <w:ind w:left="2160"/>
      </w:pPr>
      <w:r>
        <w:t>Accélération par induction enzymatique</w:t>
      </w:r>
    </w:p>
    <w:p w:rsidR="000805BD" w:rsidRDefault="000805BD" w:rsidP="000805BD">
      <w:pPr>
        <w:numPr>
          <w:ilvl w:val="1"/>
          <w:numId w:val="2"/>
        </w:numPr>
        <w:ind w:left="2160"/>
      </w:pPr>
      <w:r>
        <w:t>Ralentissement par inhibition enzymatique</w:t>
      </w:r>
    </w:p>
    <w:p w:rsidR="000805BD" w:rsidRDefault="000805BD" w:rsidP="000805BD">
      <w:pPr>
        <w:ind w:left="0" w:firstLine="0"/>
      </w:pPr>
    </w:p>
    <w:p w:rsidR="000805BD" w:rsidRDefault="000805BD" w:rsidP="000805BD">
      <w:pPr>
        <w:pStyle w:val="Titre4"/>
        <w:rPr>
          <w:b/>
        </w:rPr>
      </w:pPr>
      <w:r>
        <w:rPr>
          <w:b/>
        </w:rPr>
        <w:t>Prise de certains produits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Produits pouvant être inducteurs ou inhibiteurs enzymatiques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Exemples :</w:t>
      </w:r>
    </w:p>
    <w:p w:rsidR="000805BD" w:rsidRDefault="000805BD" w:rsidP="000805BD">
      <w:pPr>
        <w:numPr>
          <w:ilvl w:val="1"/>
          <w:numId w:val="2"/>
        </w:numPr>
        <w:ind w:left="2160"/>
      </w:pPr>
      <w:r>
        <w:t>Inducteurs : alcool, tabac, ...</w:t>
      </w:r>
    </w:p>
    <w:p w:rsidR="000805BD" w:rsidRDefault="000805BD" w:rsidP="000805BD">
      <w:pPr>
        <w:numPr>
          <w:ilvl w:val="1"/>
          <w:numId w:val="2"/>
        </w:numPr>
        <w:ind w:left="2160"/>
      </w:pPr>
      <w:r>
        <w:t xml:space="preserve">Inhibiteurs : pamplemousse (médicaments contre le cholestérol (le plus souvent, la simvastatine - </w:t>
      </w:r>
      <w:proofErr w:type="spellStart"/>
      <w:r>
        <w:t>Zocor</w:t>
      </w:r>
      <w:proofErr w:type="spellEnd"/>
      <w:r>
        <w:t xml:space="preserve">*, parfois l’atorvastatine - </w:t>
      </w:r>
      <w:proofErr w:type="spellStart"/>
      <w:r>
        <w:t>Tahor</w:t>
      </w:r>
      <w:proofErr w:type="spellEnd"/>
      <w:r>
        <w:t>*) ou immunosuppresseurs (</w:t>
      </w:r>
      <w:proofErr w:type="spellStart"/>
      <w:r>
        <w:t>ciclosoporine</w:t>
      </w:r>
      <w:proofErr w:type="spellEnd"/>
      <w:r>
        <w:t xml:space="preserve"> - </w:t>
      </w:r>
      <w:proofErr w:type="spellStart"/>
      <w:r>
        <w:t>Néoral</w:t>
      </w:r>
      <w:proofErr w:type="spellEnd"/>
      <w:r>
        <w:t xml:space="preserve">*, tacrolimus - </w:t>
      </w:r>
      <w:proofErr w:type="spellStart"/>
      <w:r>
        <w:t>Prograf</w:t>
      </w:r>
      <w:proofErr w:type="spellEnd"/>
      <w:r>
        <w:t>*)</w:t>
      </w:r>
    </w:p>
    <w:p w:rsidR="000805BD" w:rsidRDefault="000805BD" w:rsidP="000805BD">
      <w:pPr>
        <w:ind w:left="0" w:firstLine="0"/>
      </w:pPr>
    </w:p>
    <w:p w:rsidR="000805BD" w:rsidRDefault="000805BD" w:rsidP="000805BD">
      <w:pPr>
        <w:pStyle w:val="Titre2"/>
        <w:rPr>
          <w:b/>
        </w:rPr>
      </w:pPr>
      <w:bookmarkStart w:id="18" w:name="_Toc100607106"/>
      <w:bookmarkStart w:id="19" w:name="_Toc100286823"/>
      <w:r>
        <w:rPr>
          <w:b/>
        </w:rPr>
        <w:lastRenderedPageBreak/>
        <w:t>IMPORTANCES THERAPEUTIQUES DU METABOLISME DES MEDICAMENTS</w:t>
      </w:r>
      <w:bookmarkEnd w:id="18"/>
      <w:bookmarkEnd w:id="19"/>
    </w:p>
    <w:p w:rsidR="000805BD" w:rsidRDefault="000805BD" w:rsidP="000805BD">
      <w:pPr>
        <w:numPr>
          <w:ilvl w:val="0"/>
          <w:numId w:val="2"/>
        </w:numPr>
        <w:ind w:left="1440"/>
      </w:pPr>
      <w:r>
        <w:t>Choix des voies d’administration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Ajustement des posologies notamment :</w:t>
      </w:r>
    </w:p>
    <w:p w:rsidR="000805BD" w:rsidRDefault="000805BD" w:rsidP="000805BD">
      <w:pPr>
        <w:numPr>
          <w:ilvl w:val="1"/>
          <w:numId w:val="2"/>
        </w:numPr>
        <w:ind w:left="2160"/>
      </w:pPr>
      <w:r>
        <w:t>Insuffisance de l’inactivation pour</w:t>
      </w:r>
    </w:p>
    <w:p w:rsidR="000805BD" w:rsidRDefault="000805BD" w:rsidP="000805BD">
      <w:pPr>
        <w:numPr>
          <w:ilvl w:val="2"/>
          <w:numId w:val="2"/>
        </w:numPr>
        <w:ind w:left="2880"/>
      </w:pPr>
      <w:r>
        <w:t>Les inhibiteurs enzymatiques</w:t>
      </w:r>
    </w:p>
    <w:p w:rsidR="000805BD" w:rsidRDefault="000805BD" w:rsidP="000805BD">
      <w:pPr>
        <w:numPr>
          <w:ilvl w:val="2"/>
          <w:numId w:val="2"/>
        </w:numPr>
        <w:ind w:left="2880"/>
      </w:pPr>
      <w:r>
        <w:t>Des raisons génétiques</w:t>
      </w:r>
    </w:p>
    <w:p w:rsidR="000805BD" w:rsidRDefault="000805BD" w:rsidP="000805BD">
      <w:pPr>
        <w:numPr>
          <w:ilvl w:val="2"/>
          <w:numId w:val="2"/>
        </w:numPr>
        <w:ind w:left="2880"/>
      </w:pPr>
      <w:r>
        <w:t>Immaturité ou de vieillissement des organes de biotransformation</w:t>
      </w:r>
    </w:p>
    <w:p w:rsidR="000805BD" w:rsidRDefault="000805BD" w:rsidP="000805BD">
      <w:pPr>
        <w:numPr>
          <w:ilvl w:val="1"/>
          <w:numId w:val="2"/>
        </w:numPr>
        <w:ind w:left="2160"/>
      </w:pPr>
      <w:r>
        <w:t>Accélération du métabolisme (inducteurs enzymatiques, ...)</w:t>
      </w:r>
    </w:p>
    <w:p w:rsidR="000805BD" w:rsidRDefault="000805BD" w:rsidP="000805BD">
      <w:pPr>
        <w:ind w:left="0" w:firstLine="0"/>
      </w:pPr>
    </w:p>
    <w:p w:rsidR="000805BD" w:rsidRDefault="000805BD" w:rsidP="000805BD">
      <w:pPr>
        <w:pStyle w:val="Titre2"/>
        <w:rPr>
          <w:b/>
        </w:rPr>
      </w:pPr>
      <w:bookmarkStart w:id="20" w:name="_Toc100607107"/>
      <w:bookmarkStart w:id="21" w:name="_Toc100286824"/>
      <w:r>
        <w:rPr>
          <w:b/>
        </w:rPr>
        <w:t>CONCLUSION</w:t>
      </w:r>
      <w:bookmarkEnd w:id="20"/>
      <w:bookmarkEnd w:id="21"/>
    </w:p>
    <w:p w:rsidR="000805BD" w:rsidRDefault="000805BD" w:rsidP="000805BD">
      <w:pPr>
        <w:numPr>
          <w:ilvl w:val="0"/>
          <w:numId w:val="2"/>
        </w:numPr>
        <w:ind w:left="1440"/>
      </w:pPr>
      <w:r>
        <w:t>Métabolisme, 3ème phase de la pharmacocinétique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Déroulement dans différents tissus, surtout au niveau du foie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Composantes : réactions de la phase I et de la phase II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Obtention de :</w:t>
      </w:r>
    </w:p>
    <w:p w:rsidR="000805BD" w:rsidRDefault="000805BD" w:rsidP="000805BD">
      <w:pPr>
        <w:numPr>
          <w:ilvl w:val="1"/>
          <w:numId w:val="2"/>
        </w:numPr>
        <w:ind w:left="2160"/>
      </w:pPr>
      <w:r>
        <w:t>Métabolite(s) inactifs(s)</w:t>
      </w:r>
    </w:p>
    <w:p w:rsidR="000805BD" w:rsidRDefault="000805BD" w:rsidP="000805BD">
      <w:pPr>
        <w:numPr>
          <w:ilvl w:val="1"/>
          <w:numId w:val="2"/>
        </w:numPr>
        <w:ind w:left="2160"/>
      </w:pPr>
      <w:r>
        <w:t>Métabolite(s) actif(s)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Conséquences : changements de taille, liposolubilité, charge ou polarité</w:t>
      </w:r>
    </w:p>
    <w:p w:rsidR="000805BD" w:rsidRDefault="000805BD" w:rsidP="000805BD">
      <w:pPr>
        <w:numPr>
          <w:ilvl w:val="0"/>
          <w:numId w:val="2"/>
        </w:numPr>
        <w:ind w:left="1440"/>
      </w:pPr>
      <w:r>
        <w:t>Métabolites plus facilement éliminés que les molécules natives</w:t>
      </w:r>
    </w:p>
    <w:p w:rsidR="00A61BBB" w:rsidRDefault="00A61BBB"/>
    <w:sectPr w:rsidR="00A61B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FB68AA"/>
    <w:multiLevelType w:val="multilevel"/>
    <w:tmpl w:val="55343AA0"/>
    <w:numStyleLink w:val="ListeNyA"/>
  </w:abstractNum>
  <w:abstractNum w:abstractNumId="1" w15:restartNumberingAfterBreak="0">
    <w:nsid w:val="53681573"/>
    <w:multiLevelType w:val="hybridMultilevel"/>
    <w:tmpl w:val="0BAC35B2"/>
    <w:lvl w:ilvl="0" w:tplc="54967C6E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0499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6C6A6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8630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94B45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046A7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90EC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5251C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E0458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0C03C1"/>
    <w:multiLevelType w:val="multilevel"/>
    <w:tmpl w:val="55343AA0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cs="Times New Roman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/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2E2"/>
    <w:rsid w:val="000805BD"/>
    <w:rsid w:val="0017431E"/>
    <w:rsid w:val="004E32E2"/>
    <w:rsid w:val="0091286F"/>
    <w:rsid w:val="00A61BBB"/>
    <w:rsid w:val="00C1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5D595F-C756-4402-937E-7E221BAB4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05BD"/>
    <w:pPr>
      <w:spacing w:line="276" w:lineRule="auto"/>
      <w:ind w:left="720" w:hanging="360"/>
    </w:pPr>
    <w:rPr>
      <w:rFonts w:ascii="Arial" w:hAnsi="Arial"/>
      <w:color w:val="000000" w:themeColor="text1"/>
      <w:sz w:val="24"/>
    </w:rPr>
  </w:style>
  <w:style w:type="paragraph" w:styleId="Titre2">
    <w:name w:val="heading 2"/>
    <w:aliases w:val="Niveau 1"/>
    <w:basedOn w:val="Niveau1Titre2"/>
    <w:next w:val="Normal"/>
    <w:link w:val="Titre2Car"/>
    <w:uiPriority w:val="9"/>
    <w:semiHidden/>
    <w:unhideWhenUsed/>
    <w:qFormat/>
    <w:rsid w:val="000805BD"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color w:val="5B9BD5" w:themeColor="accent1"/>
      <w:sz w:val="32"/>
      <w:szCs w:val="26"/>
    </w:rPr>
  </w:style>
  <w:style w:type="paragraph" w:styleId="Titre3">
    <w:name w:val="heading 3"/>
    <w:aliases w:val="Niveau 2"/>
    <w:basedOn w:val="Niveau2Titre3"/>
    <w:next w:val="Normal"/>
    <w:link w:val="Titre3Car"/>
    <w:uiPriority w:val="9"/>
    <w:semiHidden/>
    <w:unhideWhenUsed/>
    <w:qFormat/>
    <w:rsid w:val="000805BD"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color w:val="1F4E79" w:themeColor="accent1" w:themeShade="80"/>
      <w:sz w:val="28"/>
      <w:szCs w:val="24"/>
      <w:u w:val="single"/>
    </w:rPr>
  </w:style>
  <w:style w:type="paragraph" w:styleId="Titre4">
    <w:name w:val="heading 4"/>
    <w:aliases w:val="Niveau 3"/>
    <w:basedOn w:val="Niveau3Titre4"/>
    <w:next w:val="Normal"/>
    <w:link w:val="Titre4Car"/>
    <w:uiPriority w:val="9"/>
    <w:semiHidden/>
    <w:unhideWhenUsed/>
    <w:qFormat/>
    <w:rsid w:val="000805BD"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iCs/>
      <w:color w:val="2E74B5" w:themeColor="accent1" w:themeShade="BF"/>
      <w:sz w:val="26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aliases w:val="Niveau 1 Car"/>
    <w:basedOn w:val="Policepardfaut"/>
    <w:link w:val="Titre2"/>
    <w:uiPriority w:val="9"/>
    <w:semiHidden/>
    <w:rsid w:val="000805BD"/>
    <w:rPr>
      <w:rFonts w:ascii="Calibri Light" w:eastAsiaTheme="majorEastAsia" w:hAnsi="Calibri Light" w:cstheme="majorBidi"/>
      <w:color w:val="5B9BD5" w:themeColor="accent1"/>
      <w:sz w:val="32"/>
      <w:szCs w:val="26"/>
    </w:rPr>
  </w:style>
  <w:style w:type="character" w:customStyle="1" w:styleId="Titre3Car">
    <w:name w:val="Titre 3 Car"/>
    <w:aliases w:val="Niveau 2 Car"/>
    <w:basedOn w:val="Policepardfaut"/>
    <w:link w:val="Titre3"/>
    <w:uiPriority w:val="9"/>
    <w:semiHidden/>
    <w:rsid w:val="000805BD"/>
    <w:rPr>
      <w:rFonts w:ascii="Calibri Light" w:eastAsiaTheme="majorEastAsia" w:hAnsi="Calibri Light" w:cstheme="majorBidi"/>
      <w:color w:val="1F4E79" w:themeColor="accent1" w:themeShade="80"/>
      <w:sz w:val="28"/>
      <w:szCs w:val="24"/>
      <w:u w:val="single"/>
    </w:rPr>
  </w:style>
  <w:style w:type="character" w:customStyle="1" w:styleId="Titre4Car">
    <w:name w:val="Titre 4 Car"/>
    <w:aliases w:val="Niveau 3 Car"/>
    <w:basedOn w:val="Policepardfaut"/>
    <w:link w:val="Titre4"/>
    <w:uiPriority w:val="9"/>
    <w:semiHidden/>
    <w:rsid w:val="000805BD"/>
    <w:rPr>
      <w:rFonts w:ascii="Calibri Light" w:eastAsiaTheme="majorEastAsia" w:hAnsi="Calibri Light" w:cstheme="majorBidi"/>
      <w:iCs/>
      <w:color w:val="2E74B5" w:themeColor="accent1" w:themeShade="BF"/>
      <w:sz w:val="26"/>
      <w:u w:val="singl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805BD"/>
    <w:pPr>
      <w:ind w:left="0" w:firstLine="0"/>
    </w:pPr>
    <w:rPr>
      <w:rFonts w:asciiTheme="majorHAnsi" w:eastAsiaTheme="majorEastAsia" w:hAnsiTheme="majorHAnsi" w:cstheme="majorBidi"/>
      <w:i/>
      <w:iCs/>
      <w:color w:val="5B9BD5" w:themeColor="accent1"/>
      <w:spacing w:val="15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805BD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GrandtitreTitre">
    <w:name w:val="Grand titre  (Titre)"/>
    <w:basedOn w:val="Normal"/>
    <w:uiPriority w:val="99"/>
    <w:rsid w:val="000805BD"/>
    <w:pPr>
      <w:numPr>
        <w:numId w:val="1"/>
      </w:numPr>
    </w:pPr>
  </w:style>
  <w:style w:type="paragraph" w:customStyle="1" w:styleId="Niveau1Titre2">
    <w:name w:val="Niveau 1  (Titre 2)"/>
    <w:basedOn w:val="Normal"/>
    <w:uiPriority w:val="99"/>
    <w:rsid w:val="000805BD"/>
    <w:pPr>
      <w:numPr>
        <w:ilvl w:val="1"/>
        <w:numId w:val="1"/>
      </w:numPr>
    </w:pPr>
  </w:style>
  <w:style w:type="paragraph" w:customStyle="1" w:styleId="Niveau2Titre3">
    <w:name w:val="Niveau 2  (Titre 3)"/>
    <w:basedOn w:val="Normal"/>
    <w:uiPriority w:val="99"/>
    <w:rsid w:val="000805BD"/>
    <w:pPr>
      <w:numPr>
        <w:ilvl w:val="2"/>
        <w:numId w:val="1"/>
      </w:numPr>
    </w:pPr>
  </w:style>
  <w:style w:type="paragraph" w:customStyle="1" w:styleId="Niveau3Titre4">
    <w:name w:val="Niveau 3  (Titre 4)"/>
    <w:basedOn w:val="Normal"/>
    <w:uiPriority w:val="99"/>
    <w:rsid w:val="000805BD"/>
    <w:pPr>
      <w:numPr>
        <w:ilvl w:val="3"/>
        <w:numId w:val="1"/>
      </w:numPr>
    </w:pPr>
  </w:style>
  <w:style w:type="paragraph" w:customStyle="1" w:styleId="Niveau4Titre5">
    <w:name w:val="Niveau 4  (Titre 5)"/>
    <w:basedOn w:val="Normal"/>
    <w:uiPriority w:val="99"/>
    <w:rsid w:val="000805BD"/>
    <w:pPr>
      <w:numPr>
        <w:ilvl w:val="4"/>
        <w:numId w:val="1"/>
      </w:numPr>
    </w:pPr>
  </w:style>
  <w:style w:type="paragraph" w:customStyle="1" w:styleId="Niveau5Titre6">
    <w:name w:val="Niveau 5  (Titre 6)"/>
    <w:basedOn w:val="Normal"/>
    <w:uiPriority w:val="99"/>
    <w:rsid w:val="000805BD"/>
    <w:pPr>
      <w:numPr>
        <w:ilvl w:val="5"/>
        <w:numId w:val="1"/>
      </w:numPr>
    </w:pPr>
  </w:style>
  <w:style w:type="paragraph" w:customStyle="1" w:styleId="Niveau6Titre7">
    <w:name w:val="Niveau 6  (Titre 7)"/>
    <w:basedOn w:val="Normal"/>
    <w:uiPriority w:val="99"/>
    <w:rsid w:val="000805BD"/>
    <w:pPr>
      <w:numPr>
        <w:ilvl w:val="6"/>
        <w:numId w:val="1"/>
      </w:numPr>
    </w:pPr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rsid w:val="000805BD"/>
    <w:pPr>
      <w:pBdr>
        <w:top w:val="single" w:sz="8" w:space="1" w:color="5B9BD5" w:themeColor="accent1"/>
        <w:bottom w:val="single" w:sz="8" w:space="1" w:color="5B9BD5" w:themeColor="accent1"/>
      </w:pBdr>
      <w:spacing w:after="480" w:line="240" w:lineRule="auto"/>
      <w:ind w:left="357" w:hanging="357"/>
      <w:contextualSpacing/>
      <w:jc w:val="center"/>
      <w:outlineLvl w:val="0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0805BD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numbering" w:customStyle="1" w:styleId="ListeNyA">
    <w:name w:val="Liste NyA"/>
    <w:uiPriority w:val="99"/>
    <w:rsid w:val="000805BD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30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31</Pages>
  <Words>1395</Words>
  <Characters>7676</Characters>
  <Application>Microsoft Office Word</Application>
  <DocSecurity>0</DocSecurity>
  <Lines>63</Lines>
  <Paragraphs>18</Paragraphs>
  <ScaleCrop>false</ScaleCrop>
  <Company/>
  <LinksUpToDate>false</LinksUpToDate>
  <CharactersWithSpaces>9053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2</cp:revision>
  <dcterms:created xsi:type="dcterms:W3CDTF">2024-04-12T18:49:00Z</dcterms:created>
  <dcterms:modified xsi:type="dcterms:W3CDTF">2024-04-12T18:51:00Z</dcterms:modified>
</cp:coreProperties>
</file>