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0"/>
          <w:numId w:val="1"/>
        </w:numPr>
        <w:ind w:left="360" w:hanging="360"/>
        <w:rPr/>
      </w:pPr>
      <w:bookmarkStart w:colFirst="0" w:colLast="0" w:name="_v0h7yqc7b9cb" w:id="0"/>
      <w:bookmarkEnd w:id="0"/>
      <w:r w:rsidDel="00000000" w:rsidR="00000000" w:rsidRPr="00000000">
        <w:rPr>
          <w:rtl w:val="0"/>
        </w:rPr>
        <w:t xml:space="preserve">PHARMACOLOGIE DE L’EMBRYON ET DU FOETUS ET TERATOGENIE</w:t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jadrs04nmtet" w:id="1"/>
      <w:bookmarkEnd w:id="1"/>
      <w:r w:rsidDel="00000000" w:rsidR="00000000" w:rsidRPr="00000000">
        <w:rPr>
          <w:b w:val="1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Médicaments administrés à la femme durant la grossesse ou au moment de l’accouchement : possibilité d’atteinte du fœtus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Atteinte de l’embryon ou fœtus 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Malformations congénitales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Déficits et déviation fonctionnelles pouvant n’apparaitre que longtemps après la naissance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Mort in utéro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Intérêts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Existence de nombreux effets indésirables des médicaments sur l’embryon et le fœtus (</w:t>
      </w:r>
      <w:r w:rsidDel="00000000" w:rsidR="00000000" w:rsidRPr="00000000">
        <w:rPr>
          <w:b w:val="1"/>
          <w:u w:val="single"/>
          <w:rtl w:val="0"/>
        </w:rPr>
        <w:t xml:space="preserve">visibles ou invisibles)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Prescription rationnelle et à bon escient des médicaments pour limiter les impacts sur embryon et fœtus, nouveau-né et enfant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Objectifs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Donner les modalités d’ADME (administration, distribution, metabolisme, élimination) des médicaments chez le fœtus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Donner les facteurs déterminants de la tératogénicité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k4ysg2qv76z" w:id="2"/>
      <w:bookmarkEnd w:id="2"/>
      <w:r w:rsidDel="00000000" w:rsidR="00000000" w:rsidRPr="00000000">
        <w:rPr>
          <w:b w:val="1"/>
          <w:rtl w:val="0"/>
        </w:rPr>
        <w:t xml:space="preserve">PHARMACOLOGIE DU FOETUS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Prescription du médicament : tenir compte de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Particularités anatomiques et physiologiques du fœtus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Passage transplacentaire : placenta= structure s’interposant entre le fœtus et la mère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Modifications pharmacocinétiques liées à la grossesse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Passage transplacentaire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Placenta :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Séparation mère et fœtus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Diamètre : 20cm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Épaisseur : 2,5cm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Poids : environ 500 g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Durée de vie : 9 mois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Histologie : évoluant avec la gestation, variation d’une zone à l’autre, </w:t>
      </w:r>
      <w:r w:rsidDel="00000000" w:rsidR="00000000" w:rsidRPr="00000000">
        <w:rPr>
          <w:b w:val="1"/>
          <w:rtl w:val="0"/>
        </w:rPr>
        <w:t xml:space="preserve">structure non statique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Organisation avec deux faces :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Face fœtale : plaque choriale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Face maternelle : plaque basale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Trois grandes fonctions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Échanges fœto-maternels : transfert des éléments permettant la respiration, nutrition du fœtus (réseau capillaire de 50km, surface d’échange de 14m² à terme)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Filtre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Endocrines : maintien de la gestation et le développement du fœtus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Chambre intervilleuse entre les deux faces du placenta : surface d’échange entre mère et fœtus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Capillaires fœtaux et trophoblaste villeux baignant dans le sang maternel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Le placenta n’est pas une véritable barrière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Epaisseur de la membrane de 20 à 2µm en diminution tout le long de la grossesse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Surface d’échange en augmentation tout le long de la grossesse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Passage des médicaments 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Au début du développement embryonnaire, plus particulièrement and membrane amniotique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Mais rapidement, échanges exclusivement au niveau du placenta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1440" w:hanging="36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Passage par 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b w:val="1"/>
          <w:u w:val="single"/>
          <w:rtl w:val="0"/>
        </w:rPr>
        <w:t xml:space="preserve">Diffusion passive +++ </w:t>
      </w:r>
      <w:r w:rsidDel="00000000" w:rsidR="00000000" w:rsidRPr="00000000">
        <w:rPr>
          <w:rtl w:val="0"/>
        </w:rPr>
        <w:t xml:space="preserve">(comportement du trophoblaste placentaire et de l’endothélium capillaire comme des membranes biologiques)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Transport actif ++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Diffusion facilitée (rare pour les médicaments) +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Passage par diffusion passive sous la dépendance de :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Poids moléculaire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Liposolubilité (forme non ionisée)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Vascularisation placentaire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Gradient de concentration du principe actif de part et d’autre du placenta (mère-fœtus)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Exemples : oxygène, acides gras, vitamines, urée, créatinine, stérols non conjugués, médicaments, ...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Passage par transport actif de certains médicaments :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Déroulement contre un gradient de concentrations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Consommation d’énergie (ATP)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Molécules de transport spécifiques, saturables, inhibables (compétition)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Vitesse maximale de transport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Exemples : acides aminés, électrolytes, médicaments, ....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Passage par diffusion facilitée 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Déroulement dans le sens du gradient de concentrations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Absence de consommation d’énergie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Vitesse dépendant du gradient de concentrations </w:t>
      </w:r>
      <w:r w:rsidDel="00000000" w:rsidR="00000000" w:rsidRPr="00000000">
        <w:rPr>
          <w:i w:val="1"/>
          <w:rtl w:val="0"/>
        </w:rPr>
        <w:t xml:space="preserve">de part et d’autre du placenta </w:t>
      </w:r>
      <w:r w:rsidDel="00000000" w:rsidR="00000000" w:rsidRPr="00000000">
        <w:rPr>
          <w:rtl w:val="0"/>
        </w:rPr>
        <w:t xml:space="preserve">(arrêt à l’équilibre de concentrations)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Exemples : glucose, médicaments, (protéines porteuses sans dépense d’énergie)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Classification du transfert placentaire 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Limité : concentrations maternelles supérieures aux concentrations fœtales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Elevé : traversée rapide du médicament à travers le placenta (C° maternelles = C° fœtales à l’équilibre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Excès : C° maternelles inférieures aux C° fœtales (peu de médicaments)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 résumé : “barrière” foetoplacentaire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</w:t>
      </w:r>
      <w:r w:rsidDel="00000000" w:rsidR="00000000" w:rsidRPr="00000000">
        <w:rPr>
          <w:rtl w:val="0"/>
        </w:rPr>
        <w:t xml:space="preserve"> un rôle de ralentisseur (plutôt passoire que protecteur)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x0f6zxmjujcb" w:id="3"/>
      <w:bookmarkEnd w:id="3"/>
      <w:r w:rsidDel="00000000" w:rsidR="00000000" w:rsidRPr="00000000">
        <w:rPr>
          <w:b w:val="1"/>
          <w:rtl w:val="0"/>
        </w:rPr>
        <w:t xml:space="preserve">Distribution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Caractéristiques 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Circulation particulière avec shunts (Shunt du foie : canal d’Arantius ou </w:t>
      </w:r>
      <w:r w:rsidDel="00000000" w:rsidR="00000000" w:rsidRPr="00000000">
        <w:rPr>
          <w:i w:val="1"/>
          <w:rtl w:val="0"/>
        </w:rPr>
        <w:t xml:space="preserve">ductus venosus</w:t>
      </w:r>
      <w:r w:rsidDel="00000000" w:rsidR="00000000" w:rsidRPr="00000000">
        <w:rPr>
          <w:rtl w:val="0"/>
        </w:rPr>
        <w:t xml:space="preserve">) et des poumons (</w:t>
      </w:r>
      <w:r w:rsidDel="00000000" w:rsidR="00000000" w:rsidRPr="00000000">
        <w:rPr>
          <w:i w:val="1"/>
          <w:rtl w:val="0"/>
        </w:rPr>
        <w:t xml:space="preserve">ductus arteriosus ou ductus Botalli)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Effet : distribution rapide aux différents organes et appareils, surtout cibles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Tissus du fœtus </w:t>
      </w:r>
      <w:r w:rsidDel="00000000" w:rsidR="00000000" w:rsidRPr="00000000">
        <w:rPr>
          <w:b w:val="1"/>
          <w:rtl w:val="0"/>
        </w:rPr>
        <w:t xml:space="preserve">avec peu de lipides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Tissus en prolifération et croissance rapides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Concentration dans les organes ou tissus fœtaux plus faibles que dans ceux de la mère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Limitation de la fixation des médicaments liposolubles au niveau fœtal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Accumulation préférentielle de certaines substances au niveau fœtal : stéroïdes, vitamine B12, fer, anticancéreux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Liaison aux protéines plasmatiques et placentaires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Globulines fœtales : augmentent à 10% à 12SA, 30%- 40% à terme) (maternelles stables pendant la gestation)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Albumines fœtales : augmentation pendant la grossesse(diminution pour la mère)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Liaison de certains médicaments au placenta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 tendance à une accumulation de certains médicaments surtout du côté fœtal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Distribution des médicaments chez la mère et le fœtus : souvent différente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fidy7w709ffe" w:id="4"/>
      <w:bookmarkEnd w:id="4"/>
      <w:r w:rsidDel="00000000" w:rsidR="00000000" w:rsidRPr="00000000">
        <w:rPr>
          <w:b w:val="1"/>
          <w:rtl w:val="0"/>
        </w:rPr>
        <w:t xml:space="preserve">Biotransformation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Métabolisme fœtal : 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Enzymes de la phase I : présence dès 5 - 8SA</w:t>
      </w:r>
    </w:p>
    <w:p w:rsidR="00000000" w:rsidDel="00000000" w:rsidP="00000000" w:rsidRDefault="00000000" w:rsidRPr="00000000" w14:paraId="00000060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Enzymes de la phase II : immaturité de glucuronoconjugaison (presque nulle jusqu’au terme, immaturité)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Métabolisme placentaire :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Niveau faible pour les médicaments (présence d’enzymes de la phase I (CYP) mais très peu de phase II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Présence d’enzymes trophoblastiques</w:t>
      </w:r>
    </w:p>
    <w:p w:rsidR="00000000" w:rsidDel="00000000" w:rsidP="00000000" w:rsidRDefault="00000000" w:rsidRPr="00000000" w14:paraId="00000064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Destruction de certaines molécules</w:t>
      </w:r>
    </w:p>
    <w:p w:rsidR="00000000" w:rsidDel="00000000" w:rsidP="00000000" w:rsidRDefault="00000000" w:rsidRPr="00000000" w14:paraId="00000065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Transformation d’autres molécules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Conséquences : </w:t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Substances (nombreuses) ou leurs métabolites arrivant ou fœtus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Protection : si molécule active toxique métabolisée par le placenta en métabolites non toxiques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Danger dans le cas échéant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k1blihq3j9a9" w:id="5"/>
      <w:bookmarkEnd w:id="5"/>
      <w:r w:rsidDel="00000000" w:rsidR="00000000" w:rsidRPr="00000000">
        <w:rPr>
          <w:b w:val="1"/>
          <w:rtl w:val="0"/>
        </w:rPr>
        <w:t xml:space="preserve">ELIMINATION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Foie non fonctionnel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Reins non fonctionnels 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Absence d’élimination par sécrétion urinaire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Sécrétion des urines dans le liquide amniotique et déglutition par le fœtus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Elimination des médicaments et métabolites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Retour vers la circulation maternelle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Utilisation des voies d’élimination de la mère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7f4n2xgptix6" w:id="6"/>
      <w:bookmarkEnd w:id="6"/>
      <w:r w:rsidDel="00000000" w:rsidR="00000000" w:rsidRPr="00000000">
        <w:rPr>
          <w:b w:val="1"/>
          <w:rtl w:val="0"/>
        </w:rPr>
        <w:t xml:space="preserve">TERATOGENESE</w:t>
      </w:r>
    </w:p>
    <w:p w:rsidR="00000000" w:rsidDel="00000000" w:rsidP="00000000" w:rsidRDefault="00000000" w:rsidRPr="00000000" w14:paraId="00000076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v0xdp5o8anom" w:id="7"/>
      <w:bookmarkEnd w:id="7"/>
      <w:r w:rsidDel="00000000" w:rsidR="00000000" w:rsidRPr="00000000">
        <w:rPr>
          <w:b w:val="1"/>
          <w:rtl w:val="0"/>
        </w:rPr>
        <w:t xml:space="preserve">Facteurs déterminants de la tératogénie</w:t>
      </w:r>
    </w:p>
    <w:p w:rsidR="00000000" w:rsidDel="00000000" w:rsidP="00000000" w:rsidRDefault="00000000" w:rsidRPr="00000000" w14:paraId="00000077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Types de médicaments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Etablissement de plusieurs catégories de médicaments selon leur pouvoir tératogène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Très probable : haut risque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Probable : bas risque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Possible : risque contestable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Peu probable : pratiquement nul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Nombre réduit de médicaments identifiés indiscutablement comme étant à l’origine de malformation (au sens strict) chez l’homme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Exemples : thalidomide, méthotrexate, aminoptérine, hormones stéroïdiennes naturelles ou synthétiques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Degré d’exposition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Manifestation de l’effet tératogène si dépassement d’un certain seuil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Importance également de la durée d’exposition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Accès du médicament et de ses métabolites au foetus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Passage de la barrière placentaire :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Processus de diffusion passive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Mécanisme de transport facilité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Passage actif : mécanisme de transport actif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Possibilité pour le placenta de :</w:t>
      </w:r>
    </w:p>
    <w:p w:rsidR="00000000" w:rsidDel="00000000" w:rsidP="00000000" w:rsidRDefault="00000000" w:rsidRPr="00000000" w14:paraId="0000008A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Métaboliser certains médicaments</w:t>
      </w:r>
    </w:p>
    <w:p w:rsidR="00000000" w:rsidDel="00000000" w:rsidP="00000000" w:rsidRDefault="00000000" w:rsidRPr="00000000" w14:paraId="0000008B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Fixer certains médicaments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Remarque :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Erreur de croire que la concentration de médicament du côté fœtal est toujours inférieure à celle du côté maternel</w:t>
      </w:r>
    </w:p>
    <w:p w:rsidR="00000000" w:rsidDel="00000000" w:rsidP="00000000" w:rsidRDefault="00000000" w:rsidRPr="00000000" w14:paraId="0000008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Concentration sous la dépendance de :</w:t>
      </w:r>
    </w:p>
    <w:p w:rsidR="00000000" w:rsidDel="00000000" w:rsidP="00000000" w:rsidRDefault="00000000" w:rsidRPr="00000000" w14:paraId="0000008F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PH entre les milieux fœtal et maternel : possibilité de modifications de la proportion de </w:t>
      </w:r>
      <w:commentRangeStart w:id="0"/>
      <w:r w:rsidDel="00000000" w:rsidR="00000000" w:rsidRPr="00000000">
        <w:rPr>
          <w:rtl w:val="0"/>
        </w:rPr>
        <w:t xml:space="preserve">FI/NI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(fraction ionisé/fraction non ionisé) pouvant conduire à une accumulation du côté fœtal</w:t>
      </w:r>
    </w:p>
    <w:p w:rsidR="00000000" w:rsidDel="00000000" w:rsidP="00000000" w:rsidRDefault="00000000" w:rsidRPr="00000000" w14:paraId="00000090">
      <w:pPr>
        <w:numPr>
          <w:ilvl w:val="2"/>
          <w:numId w:val="3"/>
        </w:numPr>
        <w:ind w:left="2880" w:hanging="360"/>
        <w:rPr/>
      </w:pPr>
      <w:bookmarkStart w:colFirst="0" w:colLast="0" w:name="_isi98pl6xl80" w:id="8"/>
      <w:bookmarkEnd w:id="8"/>
      <w:r w:rsidDel="00000000" w:rsidR="00000000" w:rsidRPr="00000000">
        <w:rPr>
          <w:rtl w:val="0"/>
        </w:rPr>
        <w:t xml:space="preserve">Concentration protéique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Etat de développement au moment de l’exposition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Au moment de l’accouchement, altération du placenta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Perte de ses capacités fonctionnelles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Augmentation de sa perméabilité, mais foetus encore incapable d’inactiver normalement les médicaments (exemples : benzodiazépines, anesthésiques, péthidine, etc.)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Risque d’intoxication et de retentissement sur les fonctions vitales du nouveau-né durant plusieurs heures par ces médicaments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jusqu’à la puberté : persistance de la sensibilité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62625" cy="2590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4"/>
        <w:numPr>
          <w:ilvl w:val="3"/>
          <w:numId w:val="1"/>
        </w:numPr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Susceptibilité du foetus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Foetus avec une ébauche de mécanismes métaboliques capables de limiter la quantité de médicaments atteignant la cible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Erreur ou illusion d’y compter pour une protection efficace, surtout en début de gestation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Processus de détoxification : parfois des processus de toxification car les métabolites pouvant être responsables d’effets toxiques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numPr>
          <w:ilvl w:val="2"/>
          <w:numId w:val="1"/>
        </w:numPr>
        <w:ind w:left="1080" w:hanging="360"/>
        <w:rPr>
          <w:b w:val="1"/>
        </w:rPr>
      </w:pPr>
      <w:bookmarkStart w:colFirst="0" w:colLast="0" w:name="_8tvcfhb6txjb" w:id="9"/>
      <w:bookmarkEnd w:id="9"/>
      <w:r w:rsidDel="00000000" w:rsidR="00000000" w:rsidRPr="00000000">
        <w:rPr>
          <w:b w:val="1"/>
          <w:rtl w:val="0"/>
        </w:rPr>
        <w:t xml:space="preserve">Médicaments principaux tératogènes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Médicaments tératogènes :</w:t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Thalidomide : malformation grave faciale, développement des membres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Isotrétinoïne par voie orale (Roaccutane)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Acitrétine (Soriatane)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Acide valproïque (Dépakine)</w:t>
      </w:r>
    </w:p>
    <w:p w:rsidR="00000000" w:rsidDel="00000000" w:rsidP="00000000" w:rsidRDefault="00000000" w:rsidRPr="00000000" w14:paraId="000000A9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Carbamazépine (Tegretol)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Antinéoplasiques : méthotrexate, cyclophosphamide, ...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Lithium : malformations cardiaques dans 4-8% des cas (CIV , PAC…)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Anticoagulants par voie orale (AVK) : dismorphie faciale, calcification osseuses …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Misoprostol (Cytotec) : à la base anti-ulcereux mais peut déclencher des contractions utérines : avortement 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Mycophénolate (Cellcept, Myfortic)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AINS : fermeture prématuré du canal artériel qui ne doit pourtant être fermé qu’à l’accouchement 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Médicaments contre-indiqués pendant la vie foetale :</w:t>
      </w:r>
    </w:p>
    <w:p w:rsidR="00000000" w:rsidDel="00000000" w:rsidP="00000000" w:rsidRDefault="00000000" w:rsidRPr="00000000" w14:paraId="000000B1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IEC (Captopril, enalapril, périndopril, ...)</w:t>
      </w:r>
    </w:p>
    <w:p w:rsidR="00000000" w:rsidDel="00000000" w:rsidP="00000000" w:rsidRDefault="00000000" w:rsidRPr="00000000" w14:paraId="000000B2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Antagonistes de l’angiotensine de (Sartans comme Losartan, valsartan, candesartan)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NB : </w:t>
      </w:r>
    </w:p>
    <w:p w:rsidR="00000000" w:rsidDel="00000000" w:rsidP="00000000" w:rsidRDefault="00000000" w:rsidRPr="00000000" w14:paraId="000000B4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Presque tous les médicaments peuvent être nocifs pour l’embryon et le foetus</w:t>
      </w:r>
    </w:p>
    <w:p w:rsidR="00000000" w:rsidDel="00000000" w:rsidP="00000000" w:rsidRDefault="00000000" w:rsidRPr="00000000" w14:paraId="000000B5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Affirmation de l’innocuité d’un médicament est quasiment impossible</w:t>
      </w:r>
    </w:p>
    <w:p w:rsidR="00000000" w:rsidDel="00000000" w:rsidP="00000000" w:rsidRDefault="00000000" w:rsidRPr="00000000" w14:paraId="000000B6">
      <w:pPr>
        <w:numPr>
          <w:ilvl w:val="1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Conseils aux femmes enceintes afin d’éviter les conséquences nocives des médicaments sur Embryon/Foetus</w:t>
      </w:r>
    </w:p>
    <w:p w:rsidR="00000000" w:rsidDel="00000000" w:rsidP="00000000" w:rsidRDefault="00000000" w:rsidRPr="00000000" w14:paraId="000000B7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Eviter toute automédication</w:t>
      </w:r>
    </w:p>
    <w:p w:rsidR="00000000" w:rsidDel="00000000" w:rsidP="00000000" w:rsidRDefault="00000000" w:rsidRPr="00000000" w14:paraId="000000B8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Verifier l’innocuité des médicaments</w:t>
      </w:r>
    </w:p>
    <w:p w:rsidR="00000000" w:rsidDel="00000000" w:rsidP="00000000" w:rsidRDefault="00000000" w:rsidRPr="00000000" w14:paraId="000000B9">
      <w:pPr>
        <w:numPr>
          <w:ilvl w:val="2"/>
          <w:numId w:val="3"/>
        </w:numPr>
        <w:ind w:left="2880" w:hanging="360"/>
        <w:rPr/>
      </w:pPr>
      <w:r w:rsidDel="00000000" w:rsidR="00000000" w:rsidRPr="00000000">
        <w:rPr>
          <w:rtl w:val="0"/>
        </w:rPr>
        <w:t xml:space="preserve">Venir consulter/demander un conseil à son médecin</w:t>
      </w:r>
    </w:p>
    <w:p w:rsidR="00000000" w:rsidDel="00000000" w:rsidP="00000000" w:rsidRDefault="00000000" w:rsidRPr="00000000" w14:paraId="000000BA">
      <w:pPr>
        <w:ind w:left="0" w:firstLine="0"/>
        <w:rPr>
          <w:b w:val="1"/>
          <w:color w:val="0b5394"/>
          <w:sz w:val="28"/>
          <w:szCs w:val="28"/>
        </w:rPr>
      </w:pPr>
      <w:r w:rsidDel="00000000" w:rsidR="00000000" w:rsidRPr="00000000">
        <w:rPr>
          <w:b w:val="1"/>
          <w:color w:val="0b5394"/>
          <w:sz w:val="28"/>
          <w:szCs w:val="28"/>
          <w:rtl w:val="0"/>
        </w:rPr>
        <w:t xml:space="preserve">III- </w:t>
      </w:r>
      <w:r w:rsidDel="00000000" w:rsidR="00000000" w:rsidRPr="00000000">
        <w:rPr>
          <w:b w:val="1"/>
          <w:color w:val="0b5394"/>
          <w:sz w:val="28"/>
          <w:szCs w:val="28"/>
          <w:u w:val="single"/>
          <w:rtl w:val="0"/>
        </w:rPr>
        <w:t xml:space="preserve">ALCOOL ET GROSSESSE</w:t>
      </w:r>
      <w:r w:rsidDel="00000000" w:rsidR="00000000" w:rsidRPr="00000000">
        <w:rPr>
          <w:b w:val="1"/>
          <w:color w:val="0b5394"/>
          <w:sz w:val="28"/>
          <w:szCs w:val="28"/>
          <w:rtl w:val="0"/>
        </w:rPr>
        <w:t xml:space="preserve"> :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Alcool : </w:t>
      </w:r>
    </w:p>
    <w:p w:rsidR="00000000" w:rsidDel="00000000" w:rsidP="00000000" w:rsidRDefault="00000000" w:rsidRPr="00000000" w14:paraId="000000BC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Passage de façon passive de la barrière placentaire </w:t>
      </w:r>
    </w:p>
    <w:p w:rsidR="00000000" w:rsidDel="00000000" w:rsidP="00000000" w:rsidRDefault="00000000" w:rsidRPr="00000000" w14:paraId="000000BD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Présence dans le liquide amniotique et dans le sang foetal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Concentration bien plus élevée car pas d’équipements enzymatique de détoxification (l'alcool déshydrogénase)</w:t>
      </w:r>
    </w:p>
    <w:p w:rsidR="00000000" w:rsidDel="00000000" w:rsidP="00000000" w:rsidRDefault="00000000" w:rsidRPr="00000000" w14:paraId="000000BF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Apparition che le foetus au cours de la 2ème mois de grossesse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4"/>
        </w:numPr>
        <w:spacing w:after="0" w:afterAutospacing="0"/>
        <w:ind w:left="1440" w:hanging="360"/>
        <w:rPr>
          <w:b w:val="1"/>
          <w:u w:val="none"/>
        </w:rPr>
      </w:pPr>
      <w:r w:rsidDel="00000000" w:rsidR="00000000" w:rsidRPr="00000000">
        <w:rPr>
          <w:rtl w:val="0"/>
        </w:rPr>
        <w:t xml:space="preserve">Même si</w:t>
      </w:r>
      <w:r w:rsidDel="00000000" w:rsidR="00000000" w:rsidRPr="00000000">
        <w:rPr>
          <w:b w:val="1"/>
          <w:rtl w:val="0"/>
        </w:rPr>
        <w:t xml:space="preserve"> AD </w:t>
      </w:r>
      <w:r w:rsidDel="00000000" w:rsidR="00000000" w:rsidRPr="00000000">
        <w:rPr>
          <w:rtl w:val="0"/>
        </w:rPr>
        <w:t xml:space="preserve">présent : métabolisme hépatique faible 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Sensibilité a l’alcool : </w:t>
      </w:r>
    </w:p>
    <w:p w:rsidR="00000000" w:rsidDel="00000000" w:rsidP="00000000" w:rsidRDefault="00000000" w:rsidRPr="00000000" w14:paraId="000000C2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Maximale pendant l’ebryogenese pour la plupart des organes </w:t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Moindre pendant la période foetale, mais SNC potentiellement sensible à l’alcool tout au long de la grossesse 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Syndrome d'alcoolisation foetale (avec 4 groupes d’anomalies) : </w:t>
      </w:r>
    </w:p>
    <w:p w:rsidR="00000000" w:rsidDel="00000000" w:rsidP="00000000" w:rsidRDefault="00000000" w:rsidRPr="00000000" w14:paraId="000000C5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Retard de croissance dans 80% de cas, principal critère de diagnostic </w:t>
      </w:r>
    </w:p>
    <w:p w:rsidR="00000000" w:rsidDel="00000000" w:rsidP="00000000" w:rsidRDefault="00000000" w:rsidRPr="00000000" w14:paraId="000000C6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Dismorphie cranio-faciale : faciès typique (ensellure nasale prononcée, nez court en trompette, philtrum allongée….)</w:t>
      </w:r>
    </w:p>
    <w:p w:rsidR="00000000" w:rsidDel="00000000" w:rsidP="00000000" w:rsidRDefault="00000000" w:rsidRPr="00000000" w14:paraId="000000C7">
      <w:pPr>
        <w:numPr>
          <w:ilvl w:val="2"/>
          <w:numId w:val="4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Malformations congénitale : cardiaque , snc,....</w:t>
      </w:r>
    </w:p>
    <w:p w:rsidR="00000000" w:rsidDel="00000000" w:rsidP="00000000" w:rsidRDefault="00000000" w:rsidRPr="00000000" w14:paraId="000000C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Atteintes neuro-comportementales : trouble de la motricité fine, coordination, retard d’apprentissage, agressivité, débilité….</w:t>
      </w:r>
    </w:p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numPr>
          <w:ilvl w:val="1"/>
          <w:numId w:val="1"/>
        </w:numPr>
        <w:ind w:left="720" w:hanging="360"/>
        <w:rPr>
          <w:b w:val="1"/>
        </w:rPr>
      </w:pPr>
      <w:bookmarkStart w:colFirst="0" w:colLast="0" w:name="_657do0qr52az" w:id="10"/>
      <w:bookmarkEnd w:id="10"/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Grossesse : penser à deux êtres : femme enceinte et foetus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Prescription de médicaments à une femme enceinte : risque possible pour le foetus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Affirmation de non tératogénicité d’un médicament quasiment impossible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Mise en balance du bénéfice escompté et de risques toujours présents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Risque accru pendant la vie génitale active de la femme : diagnostic de grossesse n’étant pas souvent posé qu’une fois le médicament consommé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Etat de grossesse connu : arrêt de toute prise médicamenteuse si un traitement n’est pas indispensable, ou que la pathologie est discutable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Attention aux méfaits de l’alcool et du tabac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y Antra RAZAFIMANANTSOA" w:id="0" w:date="2022-04-06T11:01:00Z"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 ionisée et non ionisée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Quattrocento Sans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360" w:hanging="360"/>
      </w:pPr>
      <w:rPr>
        <w:rFonts w:ascii="Calibri" w:cs="Calibri" w:eastAsia="Calibri" w:hAnsi="Calibri"/>
      </w:rPr>
    </w:lvl>
    <w:lvl w:ilvl="1">
      <w:start w:val="1"/>
      <w:numFmt w:val="upperRoman"/>
      <w:lvlText w:val="%2."/>
      <w:lvlJc w:val="left"/>
      <w:pPr>
        <w:ind w:left="720" w:hanging="360"/>
      </w:pPr>
      <w:rPr/>
    </w:lvl>
    <w:lvl w:ilvl="2">
      <w:start w:val="1"/>
      <w:numFmt w:val="decimal"/>
      <w:lvlText w:val="%3."/>
      <w:lvlJc w:val="left"/>
      <w:pPr>
        <w:ind w:left="1080" w:hanging="360"/>
      </w:pPr>
      <w:rPr/>
    </w:lvl>
    <w:lvl w:ilvl="3">
      <w:start w:val="1"/>
      <w:numFmt w:val="decimal"/>
      <w:lvlText w:val="%4)"/>
      <w:lvlJc w:val="left"/>
      <w:pPr>
        <w:ind w:left="1440" w:hanging="360"/>
      </w:pPr>
      <w:rPr/>
    </w:lvl>
    <w:lvl w:ilvl="4">
      <w:start w:val="1"/>
      <w:numFmt w:val="lowerLetter"/>
      <w:lvlText w:val="%5)"/>
      <w:lvlJc w:val="left"/>
      <w:pPr>
        <w:ind w:left="1800" w:hanging="360"/>
      </w:pPr>
      <w:rPr/>
    </w:lvl>
    <w:lvl w:ilvl="5">
      <w:start w:val="1"/>
      <w:numFmt w:val="bullet"/>
      <w:lvlText w:val="►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✶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fr-FR"/>
      </w:rPr>
    </w:rPrDefault>
    <w:pPrDefault>
      <w:pPr>
        <w:spacing w:after="160" w:line="276" w:lineRule="auto"/>
        <w:ind w:left="720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" w:lineRule="auto"/>
      <w:ind w:left="426" w:hanging="66.00000000000001"/>
    </w:pPr>
    <w:rPr>
      <w:rFonts w:ascii="Calibri" w:cs="Calibri" w:eastAsia="Calibri" w:hAnsi="Calibri"/>
      <w:color w:val="5b9bd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0" w:lineRule="auto"/>
      <w:ind w:left="709" w:firstLine="10.999999999999943"/>
    </w:pPr>
    <w:rPr>
      <w:rFonts w:ascii="Calibri" w:cs="Calibri" w:eastAsia="Calibri" w:hAnsi="Calibri"/>
      <w:color w:val="1f4e79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40" w:lineRule="auto"/>
      <w:ind w:left="993" w:firstLine="87.00000000000003"/>
    </w:pPr>
    <w:rPr>
      <w:rFonts w:ascii="Calibri" w:cs="Calibri" w:eastAsia="Calibri" w:hAnsi="Calibri"/>
      <w:color w:val="2e75b5"/>
      <w:sz w:val="26"/>
      <w:szCs w:val="2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top w:color="5b9bd5" w:space="1" w:sz="8" w:val="single"/>
        <w:bottom w:color="5b9bd5" w:space="1" w:sz="8" w:val="single"/>
      </w:pBdr>
      <w:spacing w:after="480" w:line="240" w:lineRule="auto"/>
      <w:ind w:left="357" w:hanging="357"/>
      <w:jc w:val="center"/>
    </w:pPr>
    <w:rPr>
      <w:rFonts w:ascii="Calibri" w:cs="Calibri" w:eastAsia="Calibri" w:hAnsi="Calibri"/>
      <w:b w:val="1"/>
      <w:smallCaps w:val="1"/>
      <w:color w:val="323e4f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