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PHARMACOLOGIE DE LA FEMME ENCEINTE </w:t>
      </w:r>
    </w:p>
    <w:p w:rsidR="00000000" w:rsidDel="00000000" w:rsidP="00000000" w:rsidRDefault="00000000" w:rsidRPr="00000000" w14:paraId="00000002">
      <w:pPr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INTRODUCTION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Grossesse : Situation normale au cours de laquelle la femme  → devoir faire face à des besoins supplémentaires, tant au niveau de ses propres tissus qu’à ceux du fœtus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Femme enceinte : Changement métabolique et physiologique progressifs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D’un côté : Fournir au fœtus un environnement intra utérine adapté à son développement / évolution et des substances indispensables à sa  croissance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 l’autre côté : Satisfaire à sa propres besoins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Changement ayant une influence sur le devenir et l’effet du médicament (Modification profonde des paramètres pharmacocinétiques de la femme enceinte)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Importance d’une bonne connaissance de la pharmacologie de la femme enceinte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Administration de médicament à la femme enceinte : Risque d’avoir des répercussions sur l’embryon et le fœtus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Intérêts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Effets indesirables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nombreux suite à une prescription de médicament chez la femme enceinte (Affectant la femme mais surtout le produit de la conception)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Impacts importants sur l’embryon, fœtus, nouveau-né (Immédiats, moyen terme, long terme)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Rationalisation de la prescription des médicaments chez la femme enceinte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Objectifs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Citer les changements physiologiques observés chez la femme enceinte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Donner les répercussions de ces changements sur l’absorption, distribution, métabolisme et l’élimination  des médicaments  chez la femme enceinte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Citer les médicaments qui peuvent être prescrits chez une femme enceinte et les médicaments à proscrire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PHARMACOCINETIQUE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ABSORPTION </w:t>
      </w:r>
    </w:p>
    <w:tbl>
      <w:tblPr>
        <w:tblStyle w:val="Table1"/>
        <w:tblW w:w="9351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3686"/>
        <w:gridCol w:w="4247"/>
        <w:tblGridChange w:id="0">
          <w:tblGrid>
            <w:gridCol w:w="1418"/>
            <w:gridCol w:w="3686"/>
            <w:gridCol w:w="42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Modifications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Conséquences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Estomac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-Utérus gravide entraine une compression de l‘estomac</w:t>
            </w:r>
          </w:p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-Vidange retardée liée à l’↑ de progestérone pendant la grossesse</w:t>
            </w:r>
          </w:p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(Pratiquement nulle pendant le travail)</w:t>
            </w:r>
          </w:p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-↓ motilité d’environ 50%</w:t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↓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sécrétion gastrique acide de 40% →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↑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pH gastrique </w:t>
            </w:r>
          </w:p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-Nausées et vomissement (Signes sympathiques)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-↑absorption des médicaments (Même produits peu solubles)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-Retard de l’absorption des médicaments au niveau du grêle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-Influence sur l’ionisation des médicaments à caractère acide ou base faible et donc leur passage membranaire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-↑dégradation des médicaments métabolisés au niveau de la muqueuse gastrique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Intestin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-↓ motilité intestinale suite à l’augmentation de progestérone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-Absorption favorisée des médicaments absorbés au niveau de l’intestin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-↑ dégradation des médicaments qui peuvent être métabolisés au niveau intestinal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Poumons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Poumons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-↑Volume respiratoire par min de 40%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-↑ventilation alvéolaire de 40%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-↓ respiration abdominale car limitation de la course diaphragmatique (Mouv) due à l’utérus gravidique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-FR inchangée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-↓Capacité résiduelle fonctionnelle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-↑Flux sanguin cardiaque de 30%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-↑perfusion pulmonaire de 30%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-Amélioration de la résorption alvéolaire des produits gazeux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-Apport et mélange des substances volatiles au niveau alvéolaire plus efficaces, avec atteinte plus rapide de concentration plus élevée, particulièrement les substances volatiles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-Vitesse d’équilibration des substances volatiles peu solubles accélérée (avec ↑ du flux sanguin)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Muqueuse et extrémité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-↑ Flux (Débit) sanguin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-Finesse de la peau selon les parties du corps favorisant le passage (Ex : Abdo)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-Etat d’hydratation du stratum cornéum en ↑ au cours de la grossesse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-Occlusion et température locale ↑ favorisent le passage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-Variation des flux sanguins locaux au cours de la grossesse 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-Poids moléculaire bas : bon passage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-Absorption potentielle à la surface exposée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-Médicaments dans une topique → absorption et résorption plus rapides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-Absorption accrue des substances polaires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*↑par 6 aux mains et par 2 au niveau des pieds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* Pas de modification au bras et aux jambes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*Stockage avec relargage ultérieur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Muscles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Résorption intramusculaire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Variation selon le territoire et la posture 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DISTRIBUTION</w:t>
      </w:r>
    </w:p>
    <w:tbl>
      <w:tblPr>
        <w:tblStyle w:val="Table2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3118"/>
        <w:gridCol w:w="2693"/>
        <w:tblGridChange w:id="0">
          <w:tblGrid>
            <w:gridCol w:w="2689"/>
            <w:gridCol w:w="3118"/>
            <w:gridCol w:w="2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Paramètres 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Femme non enceinte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Femme enceinte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Eau plasmatique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3L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Eau interstitielle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11L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16L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Eau intracellulaire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28L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30L</w:t>
            </w:r>
          </w:p>
        </w:tc>
      </w:tr>
    </w:tbl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Fœtus + annexes 5L  pour 4L + 16L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Compartiment liquidien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Modification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Eau corporelle → ↑ de + de 8 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Compartiment intra et extra cellulaire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Produits de la conception : Fœtus, placenta, utérus, 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↑ volume circulant dès la 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à 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semaine jusqu’à 40 à 50% (Max 30L à 34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Qc : ↑ progre</w:t>
      </w:r>
      <w:r w:rsidDel="00000000" w:rsidR="00000000" w:rsidRPr="00000000">
        <w:rPr>
          <w:sz w:val="32"/>
          <w:szCs w:val="32"/>
          <w:rtl w:val="0"/>
        </w:rPr>
        <w:t xml:space="preserve">ssive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de près de 30 à 50% dès la fin du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  <w:rtl w:val="0"/>
        </w:rPr>
        <w:t xml:space="preserve">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trimestre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 régionaux ↑ : Peau, reins, poumons, utérus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↓progressive des concentrations d’albumine plasmatique (Hypoalbuminémie de dilution) (-5 à 10g/L) (70 à 80 % valeurs normales)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Conséquences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↓Concentration sérique des médicaments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↓ liaisons des médicaments aux protéines plasmatiques (Fraction liée) : nette dès la 15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semaine de gestation → quelques jours après le post partum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↑Fraction libre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Circulant dans les divers compartiments maternels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↑ volume de distribution, donc de la ½ vie d’élimination (Ex : Aminoside, vancomycine, C3G, 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Risque apparition de signes de surdosage avec des concentrations totales de médicaments restant dans la fourchette thérapeutique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Risque de passage du PA au niveau du placenta et foetus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Tissus graisseux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Modifications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Présence de surcharge lipidique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Graisse ↑ de 3 à 4 kg à la fin du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trimestre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Conséquences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↑volume de distribution des substances liposolubles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Accumulation de ces PA dans les tissus graisseux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METABOLISME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Modifications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Augmentation de la production des différents hormones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Hormones sexuelles oestrogènes, progresterones,...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HCS, HCG, hormones corticosur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Hormones lactogene placentaire (HLP) et hormones chorionique somatatotrophiques (HCS), de structure proche de celle de 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Leptine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Insulines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8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Augmentation d ela production desd’insuline (des les premiers semaines de grossesse)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8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Augmentation de l’insulinoresistance (a partir du second trimestre)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Activités des hormones sexuelles régulés par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Récepteurs prégnante x (PXR)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Récepteurs androsterone constitutif (CAR)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Récepteurs nucléaire hépatique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Récepteurs hydrocarbone aromatiques (AhR)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Conséquences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Fixation des hormones sur leurs récepteurs correspondant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Mise en routes des voies métaboliques intracellulaires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Modifications du métabolisme de la femme enceinte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Réaction de la phase une : fonctionnalisation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Réactions de la phase I et II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Réaction de la phase I (fonctionnalisation) et réaction de la phase II (conjugaison)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Réactions intervenant dans le métabolisme des molécules propres à l’organisme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Existences d'effets inducteurs ou inhibiteurs entre ces différentes molécules, mais aussi avec certains médicaments administrés pendant la grossesse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Influences hormonales</w:t>
      </w:r>
      <w:r w:rsidDel="00000000" w:rsidR="00000000" w:rsidRPr="00000000">
        <w:rPr>
          <w:rtl w:val="0"/>
        </w:rPr>
      </w:r>
    </w:p>
    <w:tbl>
      <w:tblPr>
        <w:tblStyle w:val="Table3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373"/>
        <w:tblGridChange w:id="0">
          <w:tblGrid>
            <w:gridCol w:w="2689"/>
            <w:gridCol w:w="63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Modification 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Conséquences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Œstrogènes 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-Rétention biliaire favorisée</w:t>
            </w:r>
          </w:p>
          <w:p w:rsidR="00000000" w:rsidDel="00000000" w:rsidP="00000000" w:rsidRDefault="00000000" w:rsidRPr="00000000" w14:paraId="000000B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-Inhibition CYP1A2, CYP2C19→ augmentation de la ½ vie d’élimination de certains médicaments </w:t>
            </w:r>
          </w:p>
          <w:p w:rsidR="00000000" w:rsidDel="00000000" w:rsidP="00000000" w:rsidRDefault="00000000" w:rsidRPr="00000000" w14:paraId="000000B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-Stimulation de UGT 1A4, UGT 2B9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Progestérones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-Stimulation de l’activité des microsomes hépatiques (Ex : Induction de certain enzyme d’hydroxylation, CYP 3A4, CYP 2C9, CYP 2A6, CYP 2D6) surtout au 3</w:t>
            </w:r>
            <w:r w:rsidDel="00000000" w:rsidR="00000000" w:rsidRPr="00000000">
              <w:rPr>
                <w:sz w:val="32"/>
                <w:szCs w:val="32"/>
                <w:vertAlign w:val="superscript"/>
                <w:rtl w:val="0"/>
              </w:rPr>
              <w:t xml:space="preserve">ème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trimestre </w:t>
            </w:r>
          </w:p>
          <w:p w:rsidR="00000000" w:rsidDel="00000000" w:rsidP="00000000" w:rsidRDefault="00000000" w:rsidRPr="00000000" w14:paraId="000000B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Modification de l’activité de certains enzyme N-démethylation et de N-acteyl transférase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Stéroïdes sexuels 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-Inhibition de l’oxydation de certains substances (Ex : Héxobarbital, éthylmorphine, …)</w:t>
            </w:r>
          </w:p>
        </w:tc>
      </w:tr>
    </w:tbl>
    <w:p w:rsidR="00000000" w:rsidDel="00000000" w:rsidP="00000000" w:rsidRDefault="00000000" w:rsidRPr="00000000" w14:paraId="000000B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Influences sur la réaction de phase 1 et 2 au niveau du foie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69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Modification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Modification d’activité N-diméthylation et N-acétyltransférase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Conséquences des inducteurs et inhibiteurs enzymatiques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Adaptation des doses des  médicaments à index thérapeutique étroit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Influence des inducteurs/ inhibiteurs enzymatiques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Vidange vésiculaire</w:t>
      </w:r>
      <w:r w:rsidDel="00000000" w:rsidR="00000000" w:rsidRPr="00000000">
        <w:rPr>
          <w:rtl w:val="0"/>
        </w:rPr>
      </w:r>
    </w:p>
    <w:tbl>
      <w:tblPr>
        <w:tblStyle w:val="Table4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32"/>
        <w:tblGridChange w:id="0">
          <w:tblGrid>
            <w:gridCol w:w="2830"/>
            <w:gridCol w:w="62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Modification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Conséquences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Diminution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-Persistance du résidu vésiculaire après le repas et tout au long de la journée </w:t>
            </w:r>
          </w:p>
          <w:p w:rsidR="00000000" w:rsidDel="00000000" w:rsidP="00000000" w:rsidRDefault="00000000" w:rsidRPr="00000000" w14:paraId="000000C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-↑volume vésiculaire dès le premier trimestre </w:t>
            </w:r>
          </w:p>
        </w:tc>
      </w:tr>
    </w:tbl>
    <w:p w:rsidR="00000000" w:rsidDel="00000000" w:rsidP="00000000" w:rsidRDefault="00000000" w:rsidRPr="00000000" w14:paraId="000000C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NB</w:t>
      </w:r>
      <w:r w:rsidDel="00000000" w:rsidR="00000000" w:rsidRPr="00000000">
        <w:rPr>
          <w:sz w:val="32"/>
          <w:szCs w:val="32"/>
          <w:rtl w:val="0"/>
        </w:rPr>
        <w:t xml:space="preserve"> :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Observation d’un sludage vésiculaire chez environ 30% de femme enceinte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Disparition le plus souvent dans l’année qui suit l’accouchement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ELIMINATION </w:t>
      </w:r>
    </w:p>
    <w:p w:rsidR="00000000" w:rsidDel="00000000" w:rsidP="00000000" w:rsidRDefault="00000000" w:rsidRPr="00000000" w14:paraId="000000C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Excrétion rénale sous la dépendance du 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DFG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Sécrétion tubulaire active (Au niveau du TCP)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Réabsorption tubulaire (Au niveau du TCD et 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Fonction rénale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Modifications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↑Flux plasmatique dès la 15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semaine→ 5O% en fin de grossesse (Avec augmentation de débit cardiaque)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↑filtration glomérulaire → 5O% dès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  <w:rtl w:val="0"/>
        </w:rPr>
        <w:t xml:space="preserve">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trimestre, puis ↓ dans les 3 dernières semaines, atteinte de valeur post partum le dernier trimestre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↑de réabsorption de Na avec ↑ importante de valeur hydrique de la femme enceinte (Augmentation aussi de la sécrétion d’Hormone Cortico Surrénalien)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↑Cléarance créat (150 à 200 ml/mn)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↑ probable de la sécrétion tubulaire active au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– 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  <w:rtl w:val="0"/>
        </w:rPr>
        <w:t xml:space="preserve">ème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trimestre de la grossesse (Transpporteur OAT, OCT, P-gp, MDR « Multidrug resistance »), PEPT  « Peptides transporters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Conséquences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↓progressive de la créatininémie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↑ de la cléarance des médicaments (à élimination rénale prédominante)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↓ concentration plasmatique des médicaments chez la femme enceinte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Adaptation des doses des médicaments à index thérapeutique étroit (surdosage)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Remarque</w:t>
      </w:r>
      <w:r w:rsidDel="00000000" w:rsidR="00000000" w:rsidRPr="00000000">
        <w:rPr>
          <w:sz w:val="32"/>
          <w:szCs w:val="32"/>
          <w:rtl w:val="0"/>
        </w:rPr>
        <w:t xml:space="preserve"> : Œstrogènes favorisant une cholestase, conséquence :  une diminution de clairance des médicaments éliminés par voie biliaire (Ex : Rifampicine)</w:t>
      </w:r>
    </w:p>
    <w:p w:rsidR="00000000" w:rsidDel="00000000" w:rsidP="00000000" w:rsidRDefault="00000000" w:rsidRPr="00000000" w14:paraId="000000E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III- PHARMACODYNAMIE 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Action et effets pharmacologique  des médicaments sont a peu près les mêmes que ceux de la femme non gravide 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Changement intéressant surtout les paramètres Pharmacocinétiques </w:t>
      </w:r>
    </w:p>
    <w:p w:rsidR="00000000" w:rsidDel="00000000" w:rsidP="00000000" w:rsidRDefault="00000000" w:rsidRPr="00000000" w14:paraId="000000E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GROSSESSE ET PATHOLOGIES FREQUENTES </w:t>
      </w:r>
    </w:p>
    <w:p w:rsidR="00000000" w:rsidDel="00000000" w:rsidP="00000000" w:rsidRDefault="00000000" w:rsidRPr="00000000" w14:paraId="000000E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Tableau 1 : Grossesse et pathologies fréquentes </w:t>
      </w:r>
    </w:p>
    <w:p w:rsidR="00000000" w:rsidDel="00000000" w:rsidP="00000000" w:rsidRDefault="00000000" w:rsidRPr="00000000" w14:paraId="000000E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(IVRS : Infection des Voies Respiratoires Supérieures)</w:t>
      </w:r>
    </w:p>
    <w:p w:rsidR="00000000" w:rsidDel="00000000" w:rsidP="00000000" w:rsidRDefault="00000000" w:rsidRPr="00000000" w14:paraId="000000E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Tableau 2 : diabète </w:t>
      </w:r>
    </w:p>
    <w:p w:rsidR="00000000" w:rsidDel="00000000" w:rsidP="00000000" w:rsidRDefault="00000000" w:rsidRPr="00000000" w14:paraId="000000E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Tableau 3: constipation  (a éviter  sehnoside…) site du professeur rakotroka Andry </w:t>
      </w:r>
    </w:p>
    <w:p w:rsidR="00000000" w:rsidDel="00000000" w:rsidP="00000000" w:rsidRDefault="00000000" w:rsidRPr="00000000" w14:paraId="000000E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sz w:val="32"/>
          <w:szCs w:val="32"/>
          <w:u w:val="single"/>
        </w:rPr>
      </w:pPr>
      <w:bookmarkStart w:colFirst="0" w:colLast="0" w:name="_pi57zwwjr40m" w:id="0"/>
      <w:bookmarkEnd w:id="0"/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CONCLUSION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Existence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de nombreuses modifications des paramètres pharmacocinétiques,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Conseils pour les  femmes qui doivent prendre des médicaments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Vérifier l’innocuité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Vérifier, consulter ou demander un conseil à son médecin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Eviter toute auto médication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Grossesse : Pas une maladie, mais état physiologique particulier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Médicaments administrés à la femme enceinte durant la grossesse ou au moment de l’accouchement → risque pour le fœtus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upperRoman"/>
      <w:lvlText w:val="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)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5">
    <w:lvl w:ilvl="0">
      <w:start w:val="1"/>
      <w:numFmt w:val="decimal"/>
      <w:lvlText w:val="%1)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1428" w:hanging="360"/>
      </w:pPr>
      <w:rPr/>
    </w:lvl>
    <w:lvl w:ilvl="1">
      <w:start w:val="1"/>
      <w:numFmt w:val="lowerLetter"/>
      <w:lvlText w:val="%2."/>
      <w:lvlJc w:val="left"/>
      <w:pPr>
        <w:ind w:left="2148" w:hanging="360"/>
      </w:pPr>
      <w:rPr/>
    </w:lvl>
    <w:lvl w:ilvl="2">
      <w:start w:val="1"/>
      <w:numFmt w:val="lowerRoman"/>
      <w:lvlText w:val="%3."/>
      <w:lvlJc w:val="right"/>
      <w:pPr>
        <w:ind w:left="2868" w:hanging="180"/>
      </w:pPr>
      <w:rPr/>
    </w:lvl>
    <w:lvl w:ilvl="3">
      <w:start w:val="1"/>
      <w:numFmt w:val="decimal"/>
      <w:lvlText w:val="%4."/>
      <w:lvlJc w:val="left"/>
      <w:pPr>
        <w:ind w:left="3588" w:hanging="360"/>
      </w:pPr>
      <w:rPr/>
    </w:lvl>
    <w:lvl w:ilvl="4">
      <w:start w:val="1"/>
      <w:numFmt w:val="lowerLetter"/>
      <w:lvlText w:val="%5."/>
      <w:lvlJc w:val="left"/>
      <w:pPr>
        <w:ind w:left="4308" w:hanging="360"/>
      </w:pPr>
      <w:rPr/>
    </w:lvl>
    <w:lvl w:ilvl="5">
      <w:start w:val="1"/>
      <w:numFmt w:val="lowerRoman"/>
      <w:lvlText w:val="%6."/>
      <w:lvlJc w:val="right"/>
      <w:pPr>
        <w:ind w:left="5028" w:hanging="180"/>
      </w:pPr>
      <w:rPr/>
    </w:lvl>
    <w:lvl w:ilvl="6">
      <w:start w:val="1"/>
      <w:numFmt w:val="decimal"/>
      <w:lvlText w:val="%7."/>
      <w:lvlJc w:val="left"/>
      <w:pPr>
        <w:ind w:left="5748" w:hanging="360"/>
      </w:pPr>
      <w:rPr/>
    </w:lvl>
    <w:lvl w:ilvl="7">
      <w:start w:val="1"/>
      <w:numFmt w:val="lowerLetter"/>
      <w:lvlText w:val="%8."/>
      <w:lvlJc w:val="left"/>
      <w:pPr>
        <w:ind w:left="6468" w:hanging="360"/>
      </w:pPr>
      <w:rPr/>
    </w:lvl>
    <w:lvl w:ilvl="8">
      <w:start w:val="1"/>
      <w:numFmt w:val="lowerRoman"/>
      <w:lvlText w:val="%9."/>
      <w:lvlJc w:val="right"/>
      <w:pPr>
        <w:ind w:left="7188" w:hanging="180"/>
      </w:pPr>
      <w:rPr/>
    </w:lvl>
  </w:abstractNum>
  <w:abstractNum w:abstractNumId="7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