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0"/>
          <w:numId w:val="1"/>
        </w:numPr>
        <w:ind w:left="360" w:hanging="360"/>
        <w:rPr/>
      </w:pPr>
      <w:bookmarkStart w:colFirst="0" w:colLast="0" w:name="_sfylufxwz206" w:id="0"/>
      <w:bookmarkEnd w:id="0"/>
      <w:r w:rsidDel="00000000" w:rsidR="00000000" w:rsidRPr="00000000">
        <w:rPr>
          <w:rtl w:val="0"/>
        </w:rPr>
        <w:t xml:space="preserve">PHARMACOLOGIE DU PREMATURE - NOUVEAU-NE - NOURRISSON ET ENFANT</w:t>
      </w:r>
    </w:p>
    <w:p w:rsidR="00000000" w:rsidDel="00000000" w:rsidP="00000000" w:rsidRDefault="00000000" w:rsidRPr="00000000" w14:paraId="00000002">
      <w:pPr>
        <w:pStyle w:val="Heading2"/>
        <w:numPr>
          <w:ilvl w:val="1"/>
          <w:numId w:val="1"/>
        </w:numPr>
        <w:ind w:left="720" w:hanging="360"/>
        <w:rPr>
          <w:b w:val="1"/>
        </w:rPr>
      </w:pPr>
      <w:bookmarkStart w:colFirst="0" w:colLast="0" w:name="_16rk1u87pdi5" w:id="1"/>
      <w:bookmarkEnd w:id="1"/>
      <w:r w:rsidDel="00000000" w:rsidR="00000000" w:rsidRPr="00000000">
        <w:rPr>
          <w:b w:val="1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Age : facteurs de variation des paramètres Pharmacocinétiques des médicaments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Phase de croissance de l'enfant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2"/>
          <w:numId w:val="2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Prématurité : naissance avant terme, 36SA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2"/>
          <w:numId w:val="2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Période néonatale : premier mois de la vie (28j)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2"/>
          <w:numId w:val="2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Nourrisson : 28j-</w:t>
      </w:r>
      <w:r w:rsidDel="00000000" w:rsidR="00000000" w:rsidRPr="00000000">
        <w:rPr>
          <w:b w:val="1"/>
          <w:rtl w:val="0"/>
        </w:rPr>
        <w:t xml:space="preserve">23</w:t>
      </w:r>
      <w:r w:rsidDel="00000000" w:rsidR="00000000" w:rsidRPr="00000000">
        <w:rPr>
          <w:rtl w:val="0"/>
        </w:rPr>
        <w:t xml:space="preserve"> mois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2"/>
          <w:numId w:val="2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Première enfance : 2-6ans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2"/>
          <w:numId w:val="2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Seconde enfance : 6-12ans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2"/>
          <w:numId w:val="2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Adolescence : 12-5ans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Identité de règle appliquée pendant longtemps pour la thérapeutique de l’adulte, du nouveau-né et enfant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Adaptation seulement de la posologie au poids, à l’âge ou à la surface corporelle du patient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Apparition néanmoins d’accidents iatrogènes intervenant après administration de certains médicaments aux enfants en bas âges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Évolution des caractères physiologiques propres à chacun de ces groupes d’individus ne se faisant pas de manière identique pour touts les organes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Notion de pharmacologie du développement pour foetus, nouveau-né, enfant et parfois enfant.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762625" cy="2590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Prématuré, nouveau-né, nourrisson et enfant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Non considération comme un adulte en réduction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Organismes en développement avec de nombreuses modifications physiologiques ayant une répercussion sur le devenir (pharmacocinétique) et la réponse (pharmacodynamie) à beaucoup de médicaments</w:t>
        <w:br w:type="textWrapping"/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Intérêts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Pourcentages significatifs des NN et enf dans la population malgache (pop. De 0-14 : 41,4%)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Immaturité des organes du métabolisme et de l’élimination des médicaments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Fréquence des effets indésirables et iatrogénie chez le nouveau-né et l’enfant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Prescription rationnelle des médicaments chez le nouveau-né et le nourrisson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Objectifs 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Enumérer les situations nécessitant une prise en charge du prématuré, nouveau-né, nourrisson et enfant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Donner les modifications physiologiques pouvant influencer la pharmacocinétique et la pharmacodynamie des médicaments chez les enfants en bas âge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Enumérer les critères de choix thérapeutique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Calculer la posologie pour les médicaments sans validation d’utilisation pédiatrique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Choisir les formes galéniques appropriées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Enum les param importants à consid dans prescript des médic chez les enfants en bas âge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numPr>
          <w:ilvl w:val="1"/>
          <w:numId w:val="1"/>
        </w:numPr>
        <w:ind w:left="720" w:hanging="360"/>
        <w:rPr>
          <w:b w:val="1"/>
        </w:rPr>
      </w:pPr>
      <w:bookmarkStart w:colFirst="0" w:colLast="0" w:name="_3sthyz5x1en" w:id="2"/>
      <w:bookmarkEnd w:id="2"/>
      <w:r w:rsidDel="00000000" w:rsidR="00000000" w:rsidRPr="00000000">
        <w:rPr>
          <w:b w:val="1"/>
          <w:rtl w:val="0"/>
        </w:rPr>
        <w:t xml:space="preserve">PHARMACOCINETIQUE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/>
        <w:drawing>
          <wp:inline distB="0" distT="0" distL="0" distR="0">
            <wp:extent cx="5762625" cy="2590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/>
        <w:drawing>
          <wp:inline distB="0" distT="0" distL="0" distR="0">
            <wp:extent cx="5762625" cy="2590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Pharmacocinétique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Très différente de celle de l’adulte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Avec variation selon l’âge, surtout chez le prématuré, nouveau-né, nourrisson et enfant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Existence de variation notable par rapport à l’adulte</w:t>
      </w:r>
    </w:p>
    <w:p w:rsidR="00000000" w:rsidDel="00000000" w:rsidP="00000000" w:rsidRDefault="00000000" w:rsidRPr="00000000" w14:paraId="0000002A">
      <w:pPr>
        <w:ind w:left="0" w:firstLine="0"/>
        <w:rPr/>
      </w:pPr>
      <w:bookmarkStart w:colFirst="0" w:colLast="0" w:name="_en7jym7ka0u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numPr>
          <w:ilvl w:val="2"/>
          <w:numId w:val="1"/>
        </w:numPr>
        <w:ind w:left="1080" w:hanging="360"/>
        <w:rPr>
          <w:b w:val="1"/>
        </w:rPr>
      </w:pPr>
      <w:bookmarkStart w:colFirst="0" w:colLast="0" w:name="_1sely8utklh4" w:id="4"/>
      <w:bookmarkEnd w:id="4"/>
      <w:r w:rsidDel="00000000" w:rsidR="00000000" w:rsidRPr="00000000">
        <w:rPr>
          <w:b w:val="1"/>
          <w:rtl w:val="0"/>
        </w:rPr>
        <w:t xml:space="preserve">Absorption </w:t>
      </w:r>
    </w:p>
    <w:p w:rsidR="00000000" w:rsidDel="00000000" w:rsidP="00000000" w:rsidRDefault="00000000" w:rsidRPr="00000000" w14:paraId="0000002C">
      <w:pPr>
        <w:pStyle w:val="Heading4"/>
        <w:numPr>
          <w:ilvl w:val="3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Voie orale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Estomac :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Temps de vidange gastrique</w:t>
      </w:r>
    </w:p>
    <w:p w:rsidR="00000000" w:rsidDel="00000000" w:rsidP="00000000" w:rsidRDefault="00000000" w:rsidRPr="00000000" w14:paraId="0000002F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Naissance : 6-8h (adulte : 2 - 3h)</w:t>
      </w:r>
    </w:p>
    <w:p w:rsidR="00000000" w:rsidDel="00000000" w:rsidP="00000000" w:rsidRDefault="00000000" w:rsidRPr="00000000" w14:paraId="00000030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jusqu’à 6 - 8 mois : </w:t>
      </w:r>
    </w:p>
    <w:p w:rsidR="00000000" w:rsidDel="00000000" w:rsidP="00000000" w:rsidRDefault="00000000" w:rsidRPr="00000000" w14:paraId="00000031">
      <w:pPr>
        <w:numPr>
          <w:ilvl w:val="3"/>
          <w:numId w:val="3"/>
        </w:numPr>
        <w:ind w:left="3600" w:hanging="360"/>
        <w:rPr/>
      </w:pPr>
      <w:r w:rsidDel="00000000" w:rsidR="00000000" w:rsidRPr="00000000">
        <w:rPr>
          <w:rtl w:val="0"/>
        </w:rPr>
        <w:t xml:space="preserve">Augmentation progressive de la vidange gastrique chez le nourrisson et atteinte de la valeur adulte</w:t>
      </w:r>
    </w:p>
    <w:p w:rsidR="00000000" w:rsidDel="00000000" w:rsidP="00000000" w:rsidRDefault="00000000" w:rsidRPr="00000000" w14:paraId="00000032">
      <w:pPr>
        <w:numPr>
          <w:ilvl w:val="3"/>
          <w:numId w:val="3"/>
        </w:numPr>
        <w:ind w:left="3600" w:hanging="360"/>
        <w:rPr/>
      </w:pPr>
      <w:r w:rsidDel="00000000" w:rsidR="00000000" w:rsidRPr="00000000">
        <w:rPr>
          <w:rtl w:val="0"/>
        </w:rPr>
        <w:t xml:space="preserve">Absorption se faisant plus lentement, obtention de concentration maximale retardée par rapport à l’adulte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pH gastrique :</w:t>
      </w:r>
    </w:p>
    <w:p w:rsidR="00000000" w:rsidDel="00000000" w:rsidP="00000000" w:rsidRDefault="00000000" w:rsidRPr="00000000" w14:paraId="00000034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Prématuré/nouveau-né : 6 à 8</w:t>
      </w:r>
    </w:p>
    <w:p w:rsidR="00000000" w:rsidDel="00000000" w:rsidP="00000000" w:rsidRDefault="00000000" w:rsidRPr="00000000" w14:paraId="00000035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Début de production acide ~ 10ème jour</w:t>
      </w:r>
    </w:p>
    <w:p w:rsidR="00000000" w:rsidDel="00000000" w:rsidP="00000000" w:rsidRDefault="00000000" w:rsidRPr="00000000" w14:paraId="00000036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Diminution progressive du pH, atteinte de la valeur adulte vers l’âge de 2 à 3 ans (1 - 3,5)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Intestin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Transit intestinal</w:t>
      </w:r>
    </w:p>
    <w:p w:rsidR="00000000" w:rsidDel="00000000" w:rsidP="00000000" w:rsidRDefault="00000000" w:rsidRPr="00000000" w14:paraId="00000039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Prématuré et nouveau-né : 3 à 13h (sein inférieur à 10h, biberon supérieur à 10h)</w:t>
      </w:r>
    </w:p>
    <w:p w:rsidR="00000000" w:rsidDel="00000000" w:rsidP="00000000" w:rsidRDefault="00000000" w:rsidRPr="00000000" w14:paraId="0000003A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Nourrisson et enfant : évolution progressive vers la valeur adulte de 10 à 20h (20h à 72h si entre prise alimentaire et élimination par les selles)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Absorption :</w:t>
      </w:r>
    </w:p>
    <w:p w:rsidR="00000000" w:rsidDel="00000000" w:rsidP="00000000" w:rsidRDefault="00000000" w:rsidRPr="00000000" w14:paraId="0000003C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Prématuré - Nouveau-né :</w:t>
      </w:r>
    </w:p>
    <w:p w:rsidR="00000000" w:rsidDel="00000000" w:rsidP="00000000" w:rsidRDefault="00000000" w:rsidRPr="00000000" w14:paraId="0000003D">
      <w:pPr>
        <w:numPr>
          <w:ilvl w:val="3"/>
          <w:numId w:val="3"/>
        </w:numPr>
        <w:ind w:left="3600" w:hanging="360"/>
        <w:rPr/>
      </w:pPr>
      <w:r w:rsidDel="00000000" w:rsidR="00000000" w:rsidRPr="00000000">
        <w:rPr>
          <w:rtl w:val="0"/>
        </w:rPr>
        <w:t xml:space="preserve">Absorption faible</w:t>
      </w:r>
    </w:p>
    <w:p w:rsidR="00000000" w:rsidDel="00000000" w:rsidP="00000000" w:rsidRDefault="00000000" w:rsidRPr="00000000" w14:paraId="0000003E">
      <w:pPr>
        <w:numPr>
          <w:ilvl w:val="3"/>
          <w:numId w:val="3"/>
        </w:numPr>
        <w:ind w:left="3600" w:hanging="360"/>
        <w:rPr/>
      </w:pPr>
      <w:r w:rsidDel="00000000" w:rsidR="00000000" w:rsidRPr="00000000">
        <w:rPr>
          <w:rtl w:val="0"/>
        </w:rPr>
        <w:t xml:space="preserve">Réduction de Cmax et augmentation de Tmax</w:t>
      </w:r>
    </w:p>
    <w:p w:rsidR="00000000" w:rsidDel="00000000" w:rsidP="00000000" w:rsidRDefault="00000000" w:rsidRPr="00000000" w14:paraId="0000003F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Nourrisson : augmentation progressive, atteinte de la valeur adulte à 1 an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Production enzymatique</w:t>
      </w:r>
    </w:p>
    <w:p w:rsidR="00000000" w:rsidDel="00000000" w:rsidP="00000000" w:rsidRDefault="00000000" w:rsidRPr="00000000" w14:paraId="00000041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Prématuré - nouveau-né :</w:t>
      </w:r>
    </w:p>
    <w:p w:rsidR="00000000" w:rsidDel="00000000" w:rsidP="00000000" w:rsidRDefault="00000000" w:rsidRPr="00000000" w14:paraId="00000042">
      <w:pPr>
        <w:numPr>
          <w:ilvl w:val="3"/>
          <w:numId w:val="3"/>
        </w:numPr>
        <w:ind w:left="3600" w:hanging="360"/>
        <w:rPr/>
      </w:pPr>
      <w:r w:rsidDel="00000000" w:rsidR="00000000" w:rsidRPr="00000000">
        <w:rPr>
          <w:rtl w:val="0"/>
        </w:rPr>
        <w:t xml:space="preserve">Activité bêta-glucuronidase accrue</w:t>
      </w:r>
    </w:p>
    <w:p w:rsidR="00000000" w:rsidDel="00000000" w:rsidP="00000000" w:rsidRDefault="00000000" w:rsidRPr="00000000" w14:paraId="00000043">
      <w:pPr>
        <w:numPr>
          <w:ilvl w:val="3"/>
          <w:numId w:val="3"/>
        </w:numPr>
        <w:ind w:left="3600" w:hanging="360"/>
        <w:rPr/>
      </w:pPr>
      <w:r w:rsidDel="00000000" w:rsidR="00000000" w:rsidRPr="00000000">
        <w:rPr>
          <w:rtl w:val="0"/>
        </w:rPr>
        <w:t xml:space="preserve">Modification de l’hydrolyse de certains médicaments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Sécrétion biliaire</w:t>
      </w:r>
    </w:p>
    <w:p w:rsidR="00000000" w:rsidDel="00000000" w:rsidP="00000000" w:rsidRDefault="00000000" w:rsidRPr="00000000" w14:paraId="00000045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Nouveau-né/nourrisson :</w:t>
      </w:r>
    </w:p>
    <w:p w:rsidR="00000000" w:rsidDel="00000000" w:rsidP="00000000" w:rsidRDefault="00000000" w:rsidRPr="00000000" w14:paraId="00000046">
      <w:pPr>
        <w:numPr>
          <w:ilvl w:val="3"/>
          <w:numId w:val="3"/>
        </w:numPr>
        <w:ind w:left="3600" w:hanging="360"/>
        <w:rPr/>
      </w:pPr>
      <w:r w:rsidDel="00000000" w:rsidR="00000000" w:rsidRPr="00000000">
        <w:rPr>
          <w:rtl w:val="0"/>
        </w:rPr>
        <w:t xml:space="preserve">Retard de la maturation</w:t>
      </w:r>
    </w:p>
    <w:p w:rsidR="00000000" w:rsidDel="00000000" w:rsidP="00000000" w:rsidRDefault="00000000" w:rsidRPr="00000000" w14:paraId="00000047">
      <w:pPr>
        <w:numPr>
          <w:ilvl w:val="3"/>
          <w:numId w:val="3"/>
        </w:numPr>
        <w:ind w:left="3600" w:hanging="360"/>
        <w:rPr/>
      </w:pPr>
      <w:r w:rsidDel="00000000" w:rsidR="00000000" w:rsidRPr="00000000">
        <w:rPr>
          <w:rtl w:val="0"/>
        </w:rPr>
        <w:t xml:space="preserve">Absorption faible des médicaments liposolubles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Absorption gastro-intestinale :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Diffusion passive +++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Transport facilité/actif + (ex : pas d’absorption du fer, riboflavine)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Biodiponibilité de médicaments administrés par voie orale :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Avec une grande modification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Sous la dépendance de</w:t>
      </w:r>
    </w:p>
    <w:p w:rsidR="00000000" w:rsidDel="00000000" w:rsidP="00000000" w:rsidRDefault="00000000" w:rsidRPr="00000000" w14:paraId="0000004E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Formes galéniques</w:t>
      </w:r>
    </w:p>
    <w:p w:rsidR="00000000" w:rsidDel="00000000" w:rsidP="00000000" w:rsidRDefault="00000000" w:rsidRPr="00000000" w14:paraId="0000004F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Propriétés physicochimiques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numPr>
          <w:ilvl w:val="3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Voie rectale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Prématuré, nouveau-né, nourrisson et enfant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Absorption</w:t>
      </w:r>
    </w:p>
    <w:p w:rsidR="00000000" w:rsidDel="00000000" w:rsidP="00000000" w:rsidRDefault="00000000" w:rsidRPr="00000000" w14:paraId="00000054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Très variable selon les médicaments</w:t>
      </w:r>
    </w:p>
    <w:p w:rsidR="00000000" w:rsidDel="00000000" w:rsidP="00000000" w:rsidRDefault="00000000" w:rsidRPr="00000000" w14:paraId="00000055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Proche de celle de l’adulte (peu influencée par l’âge)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Contractions rectales de hautes amplitudes (risques d’expulsion augmentés)</w:t>
      </w:r>
    </w:p>
    <w:p w:rsidR="00000000" w:rsidDel="00000000" w:rsidP="00000000" w:rsidRDefault="00000000" w:rsidRPr="00000000" w14:paraId="00000057">
      <w:pPr>
        <w:pStyle w:val="Heading4"/>
        <w:numPr>
          <w:ilvl w:val="3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Voie cutané</w:t>
      </w:r>
      <w:commentRangeStart w:id="0"/>
      <w:r w:rsidDel="00000000" w:rsidR="00000000" w:rsidRPr="00000000">
        <w:rPr>
          <w:b w:val="1"/>
          <w:rtl w:val="0"/>
        </w:rPr>
        <w:t xml:space="preserve">e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Caractéristiques de la peau du prématuré/nouveau-né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Nombre d’assises cellulaires plus faible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Couche cornée : mince / fine, peu kératinisée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Plis cutanés et zone périnéale avec peau plus fine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Degré d’hydratation de la peau élevé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Vascularisation maximale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Surface corporelle / poids : plus élevé par rapport à celui de l’adulte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Conséquences :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Absorption de médicaments par voie cutanée favorisée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Posologie identique par kg de poids avec taux plasmatiques nettement supérieurs à ceux de l’adulte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Absorption/résorption systémique augmentée pouvant être responsables de manifestations cliniques de surdosage (ex : HTA avec corticoïdes, éthylisme avec pansements alcoolisés, ...)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NB : </w:t>
      </w:r>
    </w:p>
    <w:p w:rsidR="00000000" w:rsidDel="00000000" w:rsidP="00000000" w:rsidRDefault="00000000" w:rsidRPr="00000000" w14:paraId="00000064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Attention au choix de produits à utiliser aux enfants en bas âge (parfum, colorant, savon, ...)</w:t>
      </w:r>
    </w:p>
    <w:p w:rsidR="00000000" w:rsidDel="00000000" w:rsidP="00000000" w:rsidRDefault="00000000" w:rsidRPr="00000000" w14:paraId="00000065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Préférence aux produits simples comme huile d’amande douce, oxyplastine, ....)</w:t>
      </w:r>
    </w:p>
    <w:p w:rsidR="00000000" w:rsidDel="00000000" w:rsidP="00000000" w:rsidRDefault="00000000" w:rsidRPr="00000000" w14:paraId="00000066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Couche à considérer comme un pansement occlusif</w:t>
      </w:r>
    </w:p>
    <w:p w:rsidR="00000000" w:rsidDel="00000000" w:rsidP="00000000" w:rsidRDefault="00000000" w:rsidRPr="00000000" w14:paraId="00000067">
      <w:pPr>
        <w:pStyle w:val="Heading4"/>
        <w:numPr>
          <w:ilvl w:val="3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Voie intramusculaire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Caractéristiques :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Muscles peu développés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Injection douloureuse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Risque de blessure du nerf sciatiques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Conséquences</w:t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Éviter la voie intramusculaire chez le prématuré, nouveau-né, nourrisson et jeune enfant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NB : voie recommandée à titre d’exception pour les vaccins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4"/>
        <w:numPr>
          <w:ilvl w:val="3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Voie veineuse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Caractéristiques</w:t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Absence de particularité</w:t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Problème plutôt d’ordre technique :</w:t>
      </w:r>
    </w:p>
    <w:p w:rsidR="00000000" w:rsidDel="00000000" w:rsidP="00000000" w:rsidRDefault="00000000" w:rsidRPr="00000000" w14:paraId="00000074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Prématurité et nouveau-né : difficulté d’abord en raison du petit calibre des veines</w:t>
      </w:r>
    </w:p>
    <w:p w:rsidR="00000000" w:rsidDel="00000000" w:rsidP="00000000" w:rsidRDefault="00000000" w:rsidRPr="00000000" w14:paraId="00000075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Nourrisson : panicule adipeux rend difficile l’accès aux veines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Conséquences :</w:t>
      </w:r>
    </w:p>
    <w:p w:rsidR="00000000" w:rsidDel="00000000" w:rsidP="00000000" w:rsidRDefault="00000000" w:rsidRPr="00000000" w14:paraId="00000077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Erreurs de dilution en raison des petits volumes à injecter si la forme galénique est prévue pour l’adulte</w:t>
      </w:r>
    </w:p>
    <w:p w:rsidR="00000000" w:rsidDel="00000000" w:rsidP="00000000" w:rsidRDefault="00000000" w:rsidRPr="00000000" w14:paraId="00000078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Perte dans les volumes morts (tubulure, ...) des petits volumes injectés (absence d’efficacité thérapeutique)</w:t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numPr>
          <w:ilvl w:val="2"/>
          <w:numId w:val="1"/>
        </w:numPr>
        <w:ind w:left="1080" w:hanging="360"/>
        <w:rPr>
          <w:b w:val="1"/>
        </w:rPr>
      </w:pPr>
      <w:bookmarkStart w:colFirst="0" w:colLast="0" w:name="_5u57gt5x5lrm" w:id="5"/>
      <w:bookmarkEnd w:id="5"/>
      <w:r w:rsidDel="00000000" w:rsidR="00000000" w:rsidRPr="00000000">
        <w:rPr>
          <w:b w:val="1"/>
          <w:rtl w:val="0"/>
        </w:rPr>
        <w:t xml:space="preserve">Distribution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Variations pouvant entraîner une modification de la pharmacocinétique :</w:t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Variations physiologiques :</w:t>
      </w:r>
    </w:p>
    <w:p w:rsidR="00000000" w:rsidDel="00000000" w:rsidP="00000000" w:rsidRDefault="00000000" w:rsidRPr="00000000" w14:paraId="0000007D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Composition corporelle (compartiments liquidiens)</w:t>
      </w:r>
    </w:p>
    <w:p w:rsidR="00000000" w:rsidDel="00000000" w:rsidP="00000000" w:rsidRDefault="00000000" w:rsidRPr="00000000" w14:paraId="0000007E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Perfusion sanguine des tissus et organes</w:t>
      </w:r>
    </w:p>
    <w:p w:rsidR="00000000" w:rsidDel="00000000" w:rsidP="00000000" w:rsidRDefault="00000000" w:rsidRPr="00000000" w14:paraId="0000007F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Liaison aux protéines plasmatiques</w:t>
      </w:r>
    </w:p>
    <w:p w:rsidR="00000000" w:rsidDel="00000000" w:rsidP="00000000" w:rsidRDefault="00000000" w:rsidRPr="00000000" w14:paraId="00000080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Propriétés physico-chimiques des médicaments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Caractéristiques du prématuré / nouveau-né</w:t>
      </w:r>
    </w:p>
    <w:p w:rsidR="00000000" w:rsidDel="00000000" w:rsidP="00000000" w:rsidRDefault="00000000" w:rsidRPr="00000000" w14:paraId="00000082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Concentrations des protéines plasmatiques :</w:t>
      </w:r>
    </w:p>
    <w:p w:rsidR="00000000" w:rsidDel="00000000" w:rsidP="00000000" w:rsidRDefault="00000000" w:rsidRPr="00000000" w14:paraId="00000083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Albumines : concentration faible, affinité faible, valeur adulte atteinte vers 1 à 3 ans</w:t>
      </w:r>
    </w:p>
    <w:p w:rsidR="00000000" w:rsidDel="00000000" w:rsidP="00000000" w:rsidRDefault="00000000" w:rsidRPr="00000000" w14:paraId="00000084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Alpha1 glycoprotéines acides : concentration faible, valeur adulte atteinte vers 7 à 12 ans</w:t>
      </w:r>
    </w:p>
    <w:p w:rsidR="00000000" w:rsidDel="00000000" w:rsidP="00000000" w:rsidRDefault="00000000" w:rsidRPr="00000000" w14:paraId="00000085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Présence de fortes concentrations sanguines de :</w:t>
      </w:r>
    </w:p>
    <w:p w:rsidR="00000000" w:rsidDel="00000000" w:rsidP="00000000" w:rsidRDefault="00000000" w:rsidRPr="00000000" w14:paraId="00000086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Bilirubine non conjuguée (liposoluble) </w:t>
      </w:r>
    </w:p>
    <w:p w:rsidR="00000000" w:rsidDel="00000000" w:rsidP="00000000" w:rsidRDefault="00000000" w:rsidRPr="00000000" w14:paraId="00000087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Acides gras libres</w:t>
      </w:r>
    </w:p>
    <w:p w:rsidR="00000000" w:rsidDel="00000000" w:rsidP="00000000" w:rsidRDefault="00000000" w:rsidRPr="00000000" w14:paraId="00000088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Barrière hémato-encéphalique : </w:t>
      </w:r>
    </w:p>
    <w:p w:rsidR="00000000" w:rsidDel="00000000" w:rsidP="00000000" w:rsidRDefault="00000000" w:rsidRPr="00000000" w14:paraId="00000089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Etat immature</w:t>
      </w:r>
    </w:p>
    <w:p w:rsidR="00000000" w:rsidDel="00000000" w:rsidP="00000000" w:rsidRDefault="00000000" w:rsidRPr="00000000" w14:paraId="0000008A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Diminution de l’expression de PgP (permeabilité glycoprotein) </w:t>
      </w:r>
    </w:p>
    <w:p w:rsidR="00000000" w:rsidDel="00000000" w:rsidP="00000000" w:rsidRDefault="00000000" w:rsidRPr="00000000" w14:paraId="0000008B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Flux sanguin et densité des pores plus importants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Conséquences chez le prématuré / nouveau-né :</w:t>
      </w:r>
    </w:p>
    <w:p w:rsidR="00000000" w:rsidDel="00000000" w:rsidP="00000000" w:rsidRDefault="00000000" w:rsidRPr="00000000" w14:paraId="0000008D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Fixation des médicaments aux protéines plasmatiques plus faible que chez le nourrisson, enfant et adulte (normalisation vers 1 à 3 ans) : diminution des fractions liées, augmentation des fractions libres</w:t>
      </w:r>
    </w:p>
    <w:p w:rsidR="00000000" w:rsidDel="00000000" w:rsidP="00000000" w:rsidRDefault="00000000" w:rsidRPr="00000000" w14:paraId="0000008E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Compétition entre les produits à caractère acide faible (Acides gras non estérifiés, bilirubine, médicaments, ...)</w:t>
      </w:r>
    </w:p>
    <w:p w:rsidR="00000000" w:rsidDel="00000000" w:rsidP="00000000" w:rsidRDefault="00000000" w:rsidRPr="00000000" w14:paraId="0000008F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Augmentation du Vd avec passage des médicaments dans certains compartiments physiologiques</w:t>
      </w:r>
    </w:p>
    <w:p w:rsidR="00000000" w:rsidDel="00000000" w:rsidP="00000000" w:rsidRDefault="00000000" w:rsidRPr="00000000" w14:paraId="00000090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BHE plus perméable que celle de l’enfant et de l’adulte (bilirubine, barbituriques, morphine, ...)</w:t>
      </w:r>
    </w:p>
    <w:p w:rsidR="00000000" w:rsidDel="00000000" w:rsidP="00000000" w:rsidRDefault="00000000" w:rsidRPr="00000000" w14:paraId="00000091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Risque accru de toxicité neurologique des médicaments</w:t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numPr>
          <w:ilvl w:val="2"/>
          <w:numId w:val="1"/>
        </w:numPr>
        <w:ind w:left="1080" w:hanging="360"/>
        <w:rPr>
          <w:b w:val="1"/>
        </w:rPr>
      </w:pPr>
      <w:bookmarkStart w:colFirst="0" w:colLast="0" w:name="_ctx4chu8ogx9" w:id="6"/>
      <w:bookmarkEnd w:id="6"/>
      <w:r w:rsidDel="00000000" w:rsidR="00000000" w:rsidRPr="00000000">
        <w:rPr>
          <w:b w:val="1"/>
          <w:rtl w:val="0"/>
        </w:rPr>
        <w:t xml:space="preserve">Métabolisme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Caractéristiques des prématuré/nouveau-né</w:t>
      </w:r>
    </w:p>
    <w:p w:rsidR="00000000" w:rsidDel="00000000" w:rsidP="00000000" w:rsidRDefault="00000000" w:rsidRPr="00000000" w14:paraId="00000095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Immaturité à la naissance des organes comme foie, reins, appareil digestif, poumons...</w:t>
      </w:r>
    </w:p>
    <w:p w:rsidR="00000000" w:rsidDel="00000000" w:rsidP="00000000" w:rsidRDefault="00000000" w:rsidRPr="00000000" w14:paraId="00000096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Réactions de la phase I :</w:t>
      </w:r>
    </w:p>
    <w:p w:rsidR="00000000" w:rsidDel="00000000" w:rsidP="00000000" w:rsidRDefault="00000000" w:rsidRPr="00000000" w14:paraId="00000097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Immatures (oxydation, réduction, hydrolyse, ...)</w:t>
      </w:r>
    </w:p>
    <w:p w:rsidR="00000000" w:rsidDel="00000000" w:rsidP="00000000" w:rsidRDefault="00000000" w:rsidRPr="00000000" w14:paraId="00000098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Atteinte de l’activité optimale à 2 ans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Conséquences :</w:t>
      </w:r>
    </w:p>
    <w:p w:rsidR="00000000" w:rsidDel="00000000" w:rsidP="00000000" w:rsidRDefault="00000000" w:rsidRPr="00000000" w14:paraId="0000009A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Augmentation considérable de la demi-vie plasmatique pour tous les médicaments métabolisés par le foie</w:t>
      </w:r>
    </w:p>
    <w:p w:rsidR="00000000" w:rsidDel="00000000" w:rsidP="00000000" w:rsidRDefault="00000000" w:rsidRPr="00000000" w14:paraId="0000009B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Accumulation du principe actif dans l’organisme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Caractéristiques du nouveau-né et de l’enfant</w:t>
      </w:r>
    </w:p>
    <w:p w:rsidR="00000000" w:rsidDel="00000000" w:rsidP="00000000" w:rsidRDefault="00000000" w:rsidRPr="00000000" w14:paraId="0000009D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Vitesse de maturation des voies métaboliques variables, maturité vers 3 à 4 ans, parfois tardive à l’âge puberté</w:t>
      </w:r>
    </w:p>
    <w:p w:rsidR="00000000" w:rsidDel="00000000" w:rsidP="00000000" w:rsidRDefault="00000000" w:rsidRPr="00000000" w14:paraId="0000009E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Nourrisson en général, activité métabolique importante</w:t>
      </w:r>
    </w:p>
    <w:p w:rsidR="00000000" w:rsidDel="00000000" w:rsidP="00000000" w:rsidRDefault="00000000" w:rsidRPr="00000000" w14:paraId="0000009F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Clearance de certains médicaments des fois plus élevée que chez l’adulte</w:t>
      </w:r>
    </w:p>
    <w:p w:rsidR="00000000" w:rsidDel="00000000" w:rsidP="00000000" w:rsidRDefault="00000000" w:rsidRPr="00000000" w14:paraId="000000A0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Nécessité de diminuer la périodicité des prises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/>
        <w:drawing>
          <wp:inline distB="0" distT="0" distL="0" distR="0">
            <wp:extent cx="5762625" cy="25908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/>
        <w:drawing>
          <wp:inline distB="0" distT="0" distL="0" distR="0">
            <wp:extent cx="5762625" cy="2590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/>
        <w:rPr>
          <w:u w:val="none"/>
        </w:rPr>
      </w:pPr>
      <w:r w:rsidDel="00000000" w:rsidR="00000000" w:rsidRPr="00000000">
        <w:rPr>
          <w:rtl w:val="0"/>
        </w:rPr>
        <w:t xml:space="preserve">Conséquences : </w:t>
      </w:r>
    </w:p>
    <w:p w:rsidR="00000000" w:rsidDel="00000000" w:rsidP="00000000" w:rsidRDefault="00000000" w:rsidRPr="00000000" w14:paraId="000000A4">
      <w:pPr>
        <w:numPr>
          <w:ilvl w:val="1"/>
          <w:numId w:val="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Activités modifiés : </w:t>
      </w:r>
    </w:p>
    <w:p w:rsidR="00000000" w:rsidDel="00000000" w:rsidP="00000000" w:rsidRDefault="00000000" w:rsidRPr="00000000" w14:paraId="000000A5">
      <w:pPr>
        <w:numPr>
          <w:ilvl w:val="2"/>
          <w:numId w:val="3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Réactions de la phase 1 : en général très diminués. Activités esterasiques réduite chez prématurés et nouveau-nés </w:t>
      </w:r>
    </w:p>
    <w:p w:rsidR="00000000" w:rsidDel="00000000" w:rsidP="00000000" w:rsidRDefault="00000000" w:rsidRPr="00000000" w14:paraId="000000A6">
      <w:pPr>
        <w:numPr>
          <w:ilvl w:val="2"/>
          <w:numId w:val="3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Réaction de la phase 2 : diminués également, valeur inférieur à celle du nourrisson, de l’enfant et de l’adulte </w:t>
      </w:r>
    </w:p>
    <w:p w:rsidR="00000000" w:rsidDel="00000000" w:rsidP="00000000" w:rsidRDefault="00000000" w:rsidRPr="00000000" w14:paraId="000000A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Augmentation considérable de la Demi-vie plasmatiques pour tous les médicaments métabolisés par le foie chez le prématuré et chez le nouveau-né.</w:t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numPr>
          <w:ilvl w:val="2"/>
          <w:numId w:val="1"/>
        </w:numPr>
        <w:ind w:left="1080" w:hanging="360"/>
        <w:rPr>
          <w:b w:val="1"/>
        </w:rPr>
      </w:pPr>
      <w:bookmarkStart w:colFirst="0" w:colLast="0" w:name="_dl21wft4nisa" w:id="7"/>
      <w:bookmarkEnd w:id="7"/>
      <w:r w:rsidDel="00000000" w:rsidR="00000000" w:rsidRPr="00000000">
        <w:rPr>
          <w:b w:val="1"/>
          <w:rtl w:val="0"/>
        </w:rPr>
        <w:t xml:space="preserve">Elimination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Caractéristiques du prématuré / nouveau-né (glomérules)</w:t>
      </w:r>
    </w:p>
    <w:p w:rsidR="00000000" w:rsidDel="00000000" w:rsidP="00000000" w:rsidRDefault="00000000" w:rsidRPr="00000000" w14:paraId="000000AB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Reins immatures à la naissance</w:t>
      </w:r>
    </w:p>
    <w:p w:rsidR="00000000" w:rsidDel="00000000" w:rsidP="00000000" w:rsidRDefault="00000000" w:rsidRPr="00000000" w14:paraId="000000AC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Flux sanguin rénal avec un débit </w:t>
      </w:r>
      <w:r w:rsidDel="00000000" w:rsidR="00000000" w:rsidRPr="00000000">
        <w:rPr>
          <w:u w:val="single"/>
          <w:rtl w:val="0"/>
        </w:rPr>
        <w:t xml:space="preserve">très faible</w:t>
      </w:r>
      <w:r w:rsidDel="00000000" w:rsidR="00000000" w:rsidRPr="00000000">
        <w:rPr>
          <w:rtl w:val="0"/>
        </w:rPr>
        <w:t xml:space="preserve">, de 0,3 ml/g/min (adulte : 6 - 8 ml/g/min), correspondant à une perfusion à basse pression du rein</w:t>
      </w:r>
    </w:p>
    <w:p w:rsidR="00000000" w:rsidDel="00000000" w:rsidP="00000000" w:rsidRDefault="00000000" w:rsidRPr="00000000" w14:paraId="000000AD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Nombre de glomérules fonctionnels réduit (très réduit chez les prématurés)</w:t>
      </w:r>
    </w:p>
    <w:p w:rsidR="00000000" w:rsidDel="00000000" w:rsidP="00000000" w:rsidRDefault="00000000" w:rsidRPr="00000000" w14:paraId="000000AE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Surface de la membrane basale glomérulaire réduite</w:t>
      </w:r>
    </w:p>
    <w:p w:rsidR="00000000" w:rsidDel="00000000" w:rsidP="00000000" w:rsidRDefault="00000000" w:rsidRPr="00000000" w14:paraId="000000AF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Filtration glomérulaire du nouveau-né :</w:t>
      </w:r>
    </w:p>
    <w:p w:rsidR="00000000" w:rsidDel="00000000" w:rsidP="00000000" w:rsidRDefault="00000000" w:rsidRPr="00000000" w14:paraId="000000B0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30 à 40% seulement de celle de l’adulte</w:t>
      </w:r>
    </w:p>
    <w:p w:rsidR="00000000" w:rsidDel="00000000" w:rsidP="00000000" w:rsidRDefault="00000000" w:rsidRPr="00000000" w14:paraId="000000B1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Doublement pendant la première semaine</w:t>
      </w:r>
    </w:p>
    <w:p w:rsidR="00000000" w:rsidDel="00000000" w:rsidP="00000000" w:rsidRDefault="00000000" w:rsidRPr="00000000" w14:paraId="000000B2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Normalisation à la fin du 2ème semaine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NB : rein adulte entre 900.000 à 1,6 million de néphrons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/>
        <w:drawing>
          <wp:inline distB="0" distT="0" distL="0" distR="0">
            <wp:extent cx="5762625" cy="2590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Caractéristiques du prématuré / nouveau-né (tubulaires)</w:t>
      </w:r>
    </w:p>
    <w:p w:rsidR="00000000" w:rsidDel="00000000" w:rsidP="00000000" w:rsidRDefault="00000000" w:rsidRPr="00000000" w14:paraId="000000B6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Débit sanguin péritubulaire faible</w:t>
      </w:r>
    </w:p>
    <w:p w:rsidR="00000000" w:rsidDel="00000000" w:rsidP="00000000" w:rsidRDefault="00000000" w:rsidRPr="00000000" w14:paraId="000000B7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Mécanisme de transport tubulaire déficients / immatures (attente de 2 mois pour la maturation)</w:t>
      </w:r>
    </w:p>
    <w:p w:rsidR="00000000" w:rsidDel="00000000" w:rsidP="00000000" w:rsidRDefault="00000000" w:rsidRPr="00000000" w14:paraId="000000B8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NB : réabsorption tubulaire passive en fonction de</w:t>
      </w:r>
    </w:p>
    <w:p w:rsidR="00000000" w:rsidDel="00000000" w:rsidP="00000000" w:rsidRDefault="00000000" w:rsidRPr="00000000" w14:paraId="000000B9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pH </w:t>
      </w:r>
    </w:p>
    <w:p w:rsidR="00000000" w:rsidDel="00000000" w:rsidP="00000000" w:rsidRDefault="00000000" w:rsidRPr="00000000" w14:paraId="000000BA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Etat d’ionisation des actifs/métablites, sfact tot tubules, débit sanguin rénal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Conséquences sur l’élimination rénale des médicaments</w:t>
      </w:r>
    </w:p>
    <w:p w:rsidR="00000000" w:rsidDel="00000000" w:rsidP="00000000" w:rsidRDefault="00000000" w:rsidRPr="00000000" w14:paraId="000000BC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Elimination rénale réduite chez le prématuré / nouveau-né</w:t>
      </w:r>
    </w:p>
    <w:p w:rsidR="00000000" w:rsidDel="00000000" w:rsidP="00000000" w:rsidRDefault="00000000" w:rsidRPr="00000000" w14:paraId="000000BD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Augmentation de la demi-vie des médicaments</w:t>
      </w:r>
    </w:p>
    <w:p w:rsidR="00000000" w:rsidDel="00000000" w:rsidP="00000000" w:rsidRDefault="00000000" w:rsidRPr="00000000" w14:paraId="000000BE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Risque de toxicité si sans réduction de la posologe</w:t>
      </w:r>
    </w:p>
    <w:p w:rsidR="00000000" w:rsidDel="00000000" w:rsidP="00000000" w:rsidRDefault="00000000" w:rsidRPr="00000000" w14:paraId="000000BF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Clearance rénale du préma très faible comparée à celle d’un enfant de 2 ans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Possibilité de calculer la clairance de la créatinine endogène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Calcul à partir du taux plasmatique en utilisant :</w:t>
      </w:r>
    </w:p>
    <w:p w:rsidR="00000000" w:rsidDel="00000000" w:rsidP="00000000" w:rsidRDefault="00000000" w:rsidRPr="00000000" w14:paraId="000000C2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Formule de Cockroft (plus approprié)</w:t>
      </w:r>
    </w:p>
    <w:p w:rsidR="00000000" w:rsidDel="00000000" w:rsidP="00000000" w:rsidRDefault="00000000" w:rsidRPr="00000000" w14:paraId="000000C3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Formule de Schwartz</w:t>
        <w:br w:type="textWrapping"/>
      </w:r>
    </w:p>
    <w:p w:rsidR="00000000" w:rsidDel="00000000" w:rsidP="00000000" w:rsidRDefault="00000000" w:rsidRPr="00000000" w14:paraId="000000C4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762625" cy="2590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numPr>
          <w:ilvl w:val="1"/>
          <w:numId w:val="1"/>
        </w:numPr>
        <w:ind w:left="720" w:hanging="360"/>
        <w:rPr>
          <w:b w:val="1"/>
        </w:rPr>
      </w:pPr>
      <w:bookmarkStart w:colFirst="0" w:colLast="0" w:name="_ywndagejefdw" w:id="8"/>
      <w:bookmarkEnd w:id="8"/>
      <w:r w:rsidDel="00000000" w:rsidR="00000000" w:rsidRPr="00000000">
        <w:rPr>
          <w:b w:val="1"/>
          <w:rtl w:val="0"/>
        </w:rPr>
        <w:t xml:space="preserve">PHARMACODYNAMIE ET PHARMACOGENETIQUE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Variabilité pharmacodynamique chez les enfants en bas âge liée à une immaturité de l’organe cible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Variation du nombre de récepteurs (ex : sites de liaison de digoxine moins nombreux chez le prématuré/nouveau-né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➡</w:t>
      </w:r>
      <w:r w:rsidDel="00000000" w:rsidR="00000000" w:rsidRPr="00000000">
        <w:rPr>
          <w:rtl w:val="0"/>
        </w:rPr>
        <w:t xml:space="preserve"> posologie proportionnellement plus élevée)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Nécessité ainsi d’une posologie proportionnellement plus élevée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Altération du couplage récepteur-effecteur (réponse aux bêta-adrénergiques diminuée chez l’enfant car diminution de production d’AMPc)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Posologie de bêta-2 agonistes proportionnellement plus élevée chez l’enfant (dose inhalée de 0,1 à 0,2 mg/kg de terbutaline recommandée chez l’enfant, adulte 0,07 à 0,14 mg/kg chez l’adulte)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Sensibilité particulière à certains médicaments :</w:t>
      </w:r>
    </w:p>
    <w:p w:rsidR="00000000" w:rsidDel="00000000" w:rsidP="00000000" w:rsidRDefault="00000000" w:rsidRPr="00000000" w14:paraId="000000CD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Opiacés : enfants de moins de 30 mois très sensibles à leurs effets sédatifs, avec risque d’apnée (CI 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&lt;</w:t>
      </w:r>
      <w:r w:rsidDel="00000000" w:rsidR="00000000" w:rsidRPr="00000000">
        <w:rPr>
          <w:rtl w:val="0"/>
        </w:rPr>
        <w:t xml:space="preserve"> 2,5 ans)</w:t>
      </w:r>
    </w:p>
    <w:p w:rsidR="00000000" w:rsidDel="00000000" w:rsidP="00000000" w:rsidRDefault="00000000" w:rsidRPr="00000000" w14:paraId="000000CE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Benzodiazépines pour enfants de moins de 6 ans : induction d’effets paradoxaux (désinhibition, agitation psychomotrice type trouble de l’attention / hyperactivité ou TAHA)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Conséquences : réponses aux médicaments pouvant être différentes de celles d’un adulte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Phénomènes de maturation et de croissance impliquant également certains effets indésirables particuliers à l’enfant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Enfants particulièrement sensibles :</w:t>
      </w:r>
    </w:p>
    <w:p w:rsidR="00000000" w:rsidDel="00000000" w:rsidP="00000000" w:rsidRDefault="00000000" w:rsidRPr="00000000" w14:paraId="000000D2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Retard de croissance dû aux corticoïdes </w:t>
      </w:r>
    </w:p>
    <w:p w:rsidR="00000000" w:rsidDel="00000000" w:rsidP="00000000" w:rsidRDefault="00000000" w:rsidRPr="00000000" w14:paraId="000000D3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Epaississement des os longs et ossification des cartilages de conjugaison induits par les fluoroquinolones et rétinoïdes</w:t>
      </w:r>
    </w:p>
    <w:p w:rsidR="00000000" w:rsidDel="00000000" w:rsidP="00000000" w:rsidRDefault="00000000" w:rsidRPr="00000000" w14:paraId="000000D4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Dyschromie ou hypoplasie dentaire due aux tétracyclines (dents qui deviennent grises ou jaunâtres)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Pharmacogénétique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Existence d’affections nécessitant des précautions d’emploi pour certains médicaments : maladies métaboliques, déficit en G6PD, porphyries, ...</w:t>
      </w:r>
    </w:p>
    <w:p w:rsidR="00000000" w:rsidDel="00000000" w:rsidP="00000000" w:rsidRDefault="00000000" w:rsidRPr="00000000" w14:paraId="000000D7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Utilité pour les parents de mentionner dans le carnet de santé la liste des médicaments contre-indiqués</w:t>
      </w:r>
    </w:p>
    <w:p w:rsidR="00000000" w:rsidDel="00000000" w:rsidP="00000000" w:rsidRDefault="00000000" w:rsidRPr="00000000" w14:paraId="000000D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numPr>
          <w:ilvl w:val="1"/>
          <w:numId w:val="1"/>
        </w:numPr>
        <w:ind w:left="720" w:hanging="360"/>
        <w:rPr>
          <w:b w:val="1"/>
        </w:rPr>
      </w:pPr>
      <w:bookmarkStart w:colFirst="0" w:colLast="0" w:name="_4bl4o76phqt5" w:id="9"/>
      <w:bookmarkEnd w:id="9"/>
      <w:r w:rsidDel="00000000" w:rsidR="00000000" w:rsidRPr="00000000">
        <w:rPr>
          <w:b w:val="1"/>
          <w:rtl w:val="0"/>
        </w:rPr>
        <w:t xml:space="preserve">CHOIX THERAPEUTIQUE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Etablissement d’un diagnostic précis : période néonatale où les symptômes sont souvent non spécifiques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Exemple, apnée liée à :</w:t>
      </w:r>
    </w:p>
    <w:p w:rsidR="00000000" w:rsidDel="00000000" w:rsidP="00000000" w:rsidRDefault="00000000" w:rsidRPr="00000000" w14:paraId="000000DC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Hypocalcémie</w:t>
      </w:r>
    </w:p>
    <w:p w:rsidR="00000000" w:rsidDel="00000000" w:rsidP="00000000" w:rsidRDefault="00000000" w:rsidRPr="00000000" w14:paraId="000000DD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Hypoglycémie</w:t>
      </w:r>
    </w:p>
    <w:p w:rsidR="00000000" w:rsidDel="00000000" w:rsidP="00000000" w:rsidRDefault="00000000" w:rsidRPr="00000000" w14:paraId="000000DE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Méningites</w:t>
      </w:r>
    </w:p>
    <w:p w:rsidR="00000000" w:rsidDel="00000000" w:rsidP="00000000" w:rsidRDefault="00000000" w:rsidRPr="00000000" w14:paraId="000000DF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Hémorragies cérébrales</w:t>
      </w:r>
    </w:p>
    <w:p w:rsidR="00000000" w:rsidDel="00000000" w:rsidP="00000000" w:rsidRDefault="00000000" w:rsidRPr="00000000" w14:paraId="000000E0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Cardiopathies congénitales</w:t>
      </w:r>
    </w:p>
    <w:p w:rsidR="00000000" w:rsidDel="00000000" w:rsidP="00000000" w:rsidRDefault="00000000" w:rsidRPr="00000000" w14:paraId="000000E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numPr>
          <w:ilvl w:val="1"/>
          <w:numId w:val="1"/>
        </w:numPr>
        <w:ind w:left="720" w:hanging="360"/>
        <w:rPr>
          <w:b w:val="1"/>
        </w:rPr>
      </w:pPr>
      <w:bookmarkStart w:colFirst="0" w:colLast="0" w:name="_6wp07hjsa6o" w:id="10"/>
      <w:bookmarkEnd w:id="10"/>
      <w:r w:rsidDel="00000000" w:rsidR="00000000" w:rsidRPr="00000000">
        <w:rPr>
          <w:b w:val="1"/>
          <w:rtl w:val="0"/>
        </w:rPr>
        <w:t xml:space="preserve">POSOLOGIE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Médicaments, deux situations :</w:t>
      </w:r>
    </w:p>
    <w:p w:rsidR="00000000" w:rsidDel="00000000" w:rsidP="00000000" w:rsidRDefault="00000000" w:rsidRPr="00000000" w14:paraId="000000E4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Existence de formes galéniques pédiatriques (sans problème)</w:t>
      </w:r>
    </w:p>
    <w:p w:rsidR="00000000" w:rsidDel="00000000" w:rsidP="00000000" w:rsidRDefault="00000000" w:rsidRPr="00000000" w14:paraId="000000E5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Absence de formes galéniques pédiatriques : nécessité d’adapter la posologie en se basant sur la posologie de l’adulte</w:t>
      </w:r>
    </w:p>
    <w:p w:rsidR="00000000" w:rsidDel="00000000" w:rsidP="00000000" w:rsidRDefault="00000000" w:rsidRPr="00000000" w14:paraId="000000E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numPr>
          <w:ilvl w:val="2"/>
          <w:numId w:val="1"/>
        </w:numPr>
        <w:ind w:left="1080" w:hanging="360"/>
        <w:rPr>
          <w:b w:val="1"/>
        </w:rPr>
      </w:pPr>
      <w:bookmarkStart w:colFirst="0" w:colLast="0" w:name="_bmi96tlyj47c" w:id="11"/>
      <w:bookmarkEnd w:id="11"/>
      <w:r w:rsidDel="00000000" w:rsidR="00000000" w:rsidRPr="00000000">
        <w:rPr>
          <w:b w:val="1"/>
          <w:rtl w:val="0"/>
        </w:rPr>
        <w:t xml:space="preserve">Basée sur la surface corporelle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Dose = (m² x dose adulte)/1,73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Paramètre plus fiable que le poids chez le petit enfant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SC en m² : déterminée par lecture à partir du poids et de la taille sur des abaques</w:t>
      </w:r>
    </w:p>
    <w:p w:rsidR="00000000" w:rsidDel="00000000" w:rsidP="00000000" w:rsidRDefault="00000000" w:rsidRPr="00000000" w14:paraId="000000E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firstLine="720"/>
        <w:rPr/>
      </w:pPr>
      <w:r w:rsidDel="00000000" w:rsidR="00000000" w:rsidRPr="00000000">
        <w:rPr>
          <w:rtl w:val="0"/>
        </w:rPr>
        <w:t xml:space="preserve">Photos 1</w:t>
      </w:r>
    </w:p>
    <w:p w:rsidR="00000000" w:rsidDel="00000000" w:rsidP="00000000" w:rsidRDefault="00000000" w:rsidRPr="00000000" w14:paraId="000000E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numPr>
          <w:ilvl w:val="2"/>
          <w:numId w:val="1"/>
        </w:numPr>
        <w:ind w:left="1080" w:hanging="360"/>
        <w:rPr>
          <w:b w:val="1"/>
        </w:rPr>
      </w:pPr>
      <w:bookmarkStart w:colFirst="0" w:colLast="0" w:name="_2es8x5hg7ze6" w:id="12"/>
      <w:bookmarkEnd w:id="12"/>
      <w:r w:rsidDel="00000000" w:rsidR="00000000" w:rsidRPr="00000000">
        <w:rPr>
          <w:b w:val="1"/>
          <w:rtl w:val="0"/>
        </w:rPr>
        <w:t xml:space="preserve">Basée sur le poids :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Dose = (poids en kg x dose adulte)/70</w:t>
      </w:r>
    </w:p>
    <w:p w:rsidR="00000000" w:rsidDel="00000000" w:rsidP="00000000" w:rsidRDefault="00000000" w:rsidRPr="00000000" w14:paraId="000000F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numPr>
          <w:ilvl w:val="1"/>
          <w:numId w:val="1"/>
        </w:numPr>
        <w:ind w:left="720" w:hanging="360"/>
        <w:rPr>
          <w:b w:val="1"/>
        </w:rPr>
      </w:pPr>
      <w:bookmarkStart w:colFirst="0" w:colLast="0" w:name="_fs5z9xs4tw3v" w:id="13"/>
      <w:bookmarkEnd w:id="13"/>
      <w:r w:rsidDel="00000000" w:rsidR="00000000" w:rsidRPr="00000000">
        <w:rPr>
          <w:b w:val="1"/>
          <w:rtl w:val="0"/>
        </w:rPr>
        <w:t xml:space="preserve">Voies d’administration</w:t>
      </w:r>
    </w:p>
    <w:p w:rsidR="00000000" w:rsidDel="00000000" w:rsidP="00000000" w:rsidRDefault="00000000" w:rsidRPr="00000000" w14:paraId="000000F2">
      <w:pPr>
        <w:pStyle w:val="Heading3"/>
        <w:numPr>
          <w:ilvl w:val="2"/>
          <w:numId w:val="1"/>
        </w:numPr>
        <w:ind w:left="1080" w:hanging="360"/>
        <w:rPr>
          <w:b w:val="1"/>
        </w:rPr>
      </w:pPr>
      <w:bookmarkStart w:colFirst="0" w:colLast="0" w:name="_aa6h0bf12ndn" w:id="14"/>
      <w:bookmarkEnd w:id="14"/>
      <w:r w:rsidDel="00000000" w:rsidR="00000000" w:rsidRPr="00000000">
        <w:rPr>
          <w:b w:val="1"/>
          <w:rtl w:val="0"/>
        </w:rPr>
        <w:t xml:space="preserve">Voie orale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1440" w:hanging="36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À préférer chaque fois que la nature du médicament et l’affection la permettent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Administrer avec tact, patience et habilité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Choisir une forme galénique pédiatrique (ex : sirop aromatisé, ...)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NB : si sous forme liquide, bien agiter et homogénéiser avant l’administration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Cas de non disponibilité de forme galénique pédiatrique :</w:t>
      </w:r>
    </w:p>
    <w:p w:rsidR="00000000" w:rsidDel="00000000" w:rsidP="00000000" w:rsidRDefault="00000000" w:rsidRPr="00000000" w14:paraId="000000F8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Comprimé à fractionner et réduire en poudre (</w:t>
      </w:r>
      <w:r w:rsidDel="00000000" w:rsidR="00000000" w:rsidRPr="00000000">
        <w:rPr>
          <w:i w:val="1"/>
          <w:rtl w:val="0"/>
        </w:rPr>
        <w:t xml:space="preserve">à vérifier si on peut déconditionner le comprimé)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Mélange à du miel, du yaourt</w:t>
      </w:r>
    </w:p>
    <w:p w:rsidR="00000000" w:rsidDel="00000000" w:rsidP="00000000" w:rsidRDefault="00000000" w:rsidRPr="00000000" w14:paraId="000000FA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NB : faire attention au conditionnement des médicaments (existence de médicaments à ne pas écraser, croquer, etc.)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Dose prescrite à administrer en une seule cuillerée (dans la mesure du possible)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Pour la prise médicamenteuse :</w:t>
      </w:r>
    </w:p>
    <w:p w:rsidR="00000000" w:rsidDel="00000000" w:rsidP="00000000" w:rsidRDefault="00000000" w:rsidRPr="00000000" w14:paraId="000000FD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Agir avec fermeté</w:t>
      </w:r>
    </w:p>
    <w:p w:rsidR="00000000" w:rsidDel="00000000" w:rsidP="00000000" w:rsidRDefault="00000000" w:rsidRPr="00000000" w14:paraId="000000FE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Eviter autant que possible les explications ou les tentatives de persuasion car risque de créer une attitude de refus chez l’enfant</w:t>
      </w:r>
    </w:p>
    <w:p w:rsidR="00000000" w:rsidDel="00000000" w:rsidP="00000000" w:rsidRDefault="00000000" w:rsidRPr="00000000" w14:paraId="000000FF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NB : nourrisson ou enfant devant sentir clairement dès le départ que le médicament lui soit donné malgré son opposition</w:t>
      </w:r>
    </w:p>
    <w:p w:rsidR="00000000" w:rsidDel="00000000" w:rsidP="00000000" w:rsidRDefault="00000000" w:rsidRPr="00000000" w14:paraId="0000010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numPr>
          <w:ilvl w:val="2"/>
          <w:numId w:val="1"/>
        </w:numPr>
        <w:ind w:left="1080" w:hanging="360"/>
        <w:rPr>
          <w:b w:val="1"/>
        </w:rPr>
      </w:pPr>
      <w:bookmarkStart w:colFirst="0" w:colLast="0" w:name="_hzt2srtc41mn" w:id="15"/>
      <w:bookmarkEnd w:id="15"/>
      <w:r w:rsidDel="00000000" w:rsidR="00000000" w:rsidRPr="00000000">
        <w:rPr>
          <w:b w:val="1"/>
          <w:rtl w:val="0"/>
        </w:rPr>
        <w:t xml:space="preserve">Voie rectale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Suppositoires et lavements, en dehors de certaines indications locales à éviter (absorption du principe actif souvent aléatoire</w:t>
      </w:r>
    </w:p>
    <w:p w:rsidR="00000000" w:rsidDel="00000000" w:rsidP="00000000" w:rsidRDefault="00000000" w:rsidRPr="00000000" w14:paraId="000001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numPr>
          <w:ilvl w:val="2"/>
          <w:numId w:val="1"/>
        </w:numPr>
        <w:ind w:left="1080" w:hanging="360"/>
        <w:rPr>
          <w:b w:val="1"/>
        </w:rPr>
      </w:pPr>
      <w:bookmarkStart w:colFirst="0" w:colLast="0" w:name="_phvvmlsrgs4l" w:id="16"/>
      <w:bookmarkEnd w:id="16"/>
      <w:r w:rsidDel="00000000" w:rsidR="00000000" w:rsidRPr="00000000">
        <w:rPr>
          <w:b w:val="1"/>
          <w:rtl w:val="0"/>
        </w:rPr>
        <w:t xml:space="preserve">Voie parentérale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Choix déterminé par :</w:t>
      </w:r>
    </w:p>
    <w:p w:rsidR="00000000" w:rsidDel="00000000" w:rsidP="00000000" w:rsidRDefault="00000000" w:rsidRPr="00000000" w14:paraId="00000106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Conditionnement du médicament</w:t>
      </w:r>
    </w:p>
    <w:p w:rsidR="00000000" w:rsidDel="00000000" w:rsidP="00000000" w:rsidRDefault="00000000" w:rsidRPr="00000000" w14:paraId="00000107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Difficulté d’absorption du principe actif par le tractus digestif</w:t>
      </w:r>
    </w:p>
    <w:p w:rsidR="00000000" w:rsidDel="00000000" w:rsidP="00000000" w:rsidRDefault="00000000" w:rsidRPr="00000000" w14:paraId="00000108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Etat d’urgence de la situation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Voie intramusculaire :</w:t>
      </w:r>
    </w:p>
    <w:p w:rsidR="00000000" w:rsidDel="00000000" w:rsidP="00000000" w:rsidRDefault="00000000" w:rsidRPr="00000000" w14:paraId="0000010A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Adaptation de l’aiguille en fonction de la corpulence de l’enfant</w:t>
      </w:r>
    </w:p>
    <w:p w:rsidR="00000000" w:rsidDel="00000000" w:rsidP="00000000" w:rsidRDefault="00000000" w:rsidRPr="00000000" w14:paraId="0000010B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Aiguille pour injection intradermique pour les prématurés</w:t>
      </w:r>
    </w:p>
    <w:p w:rsidR="00000000" w:rsidDel="00000000" w:rsidP="00000000" w:rsidRDefault="00000000" w:rsidRPr="00000000" w14:paraId="0000010C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SC pour nourrisson</w:t>
      </w:r>
    </w:p>
    <w:p w:rsidR="00000000" w:rsidDel="00000000" w:rsidP="00000000" w:rsidRDefault="00000000" w:rsidRPr="00000000" w14:paraId="0000010D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IM pour l’enfant</w:t>
        <w:br w:type="textWrapping"/>
      </w:r>
    </w:p>
    <w:p w:rsidR="00000000" w:rsidDel="00000000" w:rsidP="00000000" w:rsidRDefault="00000000" w:rsidRPr="00000000" w14:paraId="0000010E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NB :</w:t>
      </w:r>
    </w:p>
    <w:p w:rsidR="00000000" w:rsidDel="00000000" w:rsidP="00000000" w:rsidRDefault="00000000" w:rsidRPr="00000000" w14:paraId="0000010F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Masse musculaire encore réduite (à éviter si possible)</w:t>
      </w:r>
    </w:p>
    <w:p w:rsidR="00000000" w:rsidDel="00000000" w:rsidP="00000000" w:rsidRDefault="00000000" w:rsidRPr="00000000" w14:paraId="00000110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Réabsorption des médicaments dépendant du flux sanguin musculaire, variant au cours de la maturation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Injection sous-cutanées / intradermique</w:t>
      </w:r>
    </w:p>
    <w:p w:rsidR="00000000" w:rsidDel="00000000" w:rsidP="00000000" w:rsidRDefault="00000000" w:rsidRPr="00000000" w14:paraId="00000112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Technique, la même que chez l’adulte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Voie veineuse si :</w:t>
      </w:r>
    </w:p>
    <w:p w:rsidR="00000000" w:rsidDel="00000000" w:rsidP="00000000" w:rsidRDefault="00000000" w:rsidRPr="00000000" w14:paraId="00000114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Situation grave</w:t>
      </w:r>
    </w:p>
    <w:p w:rsidR="00000000" w:rsidDel="00000000" w:rsidP="00000000" w:rsidRDefault="00000000" w:rsidRPr="00000000" w14:paraId="00000115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Choc cardio-respiratoire : entraver l’absorption efficace du médicament par voie intramusculaire</w:t>
      </w:r>
    </w:p>
    <w:p w:rsidR="00000000" w:rsidDel="00000000" w:rsidP="00000000" w:rsidRDefault="00000000" w:rsidRPr="00000000" w14:paraId="000001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numPr>
          <w:ilvl w:val="2"/>
          <w:numId w:val="1"/>
        </w:numPr>
        <w:ind w:left="1080" w:hanging="360"/>
        <w:rPr>
          <w:b w:val="1"/>
        </w:rPr>
      </w:pPr>
      <w:bookmarkStart w:colFirst="0" w:colLast="0" w:name="_ner3aaf1ybhh" w:id="17"/>
      <w:bookmarkEnd w:id="17"/>
      <w:r w:rsidDel="00000000" w:rsidR="00000000" w:rsidRPr="00000000">
        <w:rPr>
          <w:b w:val="1"/>
          <w:rtl w:val="0"/>
        </w:rPr>
        <w:t xml:space="preserve">Voie pulmonaire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Aérosols doseur (bécotide, ventoline, ...) utilisables à partir de 8 ans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NB :</w:t>
      </w:r>
    </w:p>
    <w:p w:rsidR="00000000" w:rsidDel="00000000" w:rsidP="00000000" w:rsidRDefault="00000000" w:rsidRPr="00000000" w14:paraId="0000011A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Avant, utiliser chambre d’inhalation</w:t>
      </w:r>
    </w:p>
    <w:p w:rsidR="00000000" w:rsidDel="00000000" w:rsidP="00000000" w:rsidRDefault="00000000" w:rsidRPr="00000000" w14:paraId="0000011B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Possibilité d’utilisation d’inhalateur</w:t>
      </w:r>
    </w:p>
    <w:p w:rsidR="00000000" w:rsidDel="00000000" w:rsidP="00000000" w:rsidRDefault="00000000" w:rsidRPr="00000000" w14:paraId="000001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numPr>
          <w:ilvl w:val="2"/>
          <w:numId w:val="1"/>
        </w:numPr>
        <w:ind w:left="1080" w:hanging="360"/>
        <w:rPr>
          <w:b w:val="1"/>
        </w:rPr>
      </w:pPr>
      <w:bookmarkStart w:colFirst="0" w:colLast="0" w:name="_ujsuujrk9i02" w:id="18"/>
      <w:bookmarkEnd w:id="18"/>
      <w:r w:rsidDel="00000000" w:rsidR="00000000" w:rsidRPr="00000000">
        <w:rPr>
          <w:b w:val="1"/>
          <w:rtl w:val="0"/>
        </w:rPr>
        <w:t xml:space="preserve">Voie intrathécale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Réservée en principe à l’administration de médicament n’arrivant pas à passer à travers les différentes barrières protégeant le cerveau et LCR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Ex : certains antibiotiques en cas de méningites bactériennes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Remarques en cas d’allaitement maternel :</w:t>
      </w:r>
    </w:p>
    <w:p w:rsidR="00000000" w:rsidDel="00000000" w:rsidP="00000000" w:rsidRDefault="00000000" w:rsidRPr="00000000" w14:paraId="00000121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Passage de nombreux médicaments dans le lait maternel</w:t>
      </w:r>
    </w:p>
    <w:p w:rsidR="00000000" w:rsidDel="00000000" w:rsidP="00000000" w:rsidRDefault="00000000" w:rsidRPr="00000000" w14:paraId="00000122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Risque d’effets indésirables pour le nouveau-né allaité</w:t>
      </w:r>
    </w:p>
    <w:p w:rsidR="00000000" w:rsidDel="00000000" w:rsidP="00000000" w:rsidRDefault="00000000" w:rsidRPr="00000000" w14:paraId="000001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numPr>
          <w:ilvl w:val="1"/>
          <w:numId w:val="1"/>
        </w:numPr>
        <w:ind w:left="720" w:hanging="360"/>
        <w:rPr>
          <w:b w:val="1"/>
        </w:rPr>
      </w:pPr>
      <w:bookmarkStart w:colFirst="0" w:colLast="0" w:name="_7bd6fosq61cv" w:id="19"/>
      <w:bookmarkEnd w:id="19"/>
      <w:r w:rsidDel="00000000" w:rsidR="00000000" w:rsidRPr="00000000">
        <w:rPr>
          <w:b w:val="1"/>
          <w:rtl w:val="0"/>
        </w:rPr>
        <w:t xml:space="preserve">PRESCRIPTION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Il est indispensable de rédiger une prescription particulièrement claire et précise, mentionnant :</w:t>
      </w:r>
    </w:p>
    <w:p w:rsidR="00000000" w:rsidDel="00000000" w:rsidP="00000000" w:rsidRDefault="00000000" w:rsidRPr="00000000" w14:paraId="00000126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Nom, prénoms</w:t>
      </w:r>
    </w:p>
    <w:p w:rsidR="00000000" w:rsidDel="00000000" w:rsidP="00000000" w:rsidRDefault="00000000" w:rsidRPr="00000000" w14:paraId="00000127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Âge de l’enfant</w:t>
      </w:r>
    </w:p>
    <w:p w:rsidR="00000000" w:rsidDel="00000000" w:rsidP="00000000" w:rsidRDefault="00000000" w:rsidRPr="00000000" w14:paraId="00000128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Poids </w:t>
      </w:r>
    </w:p>
    <w:p w:rsidR="00000000" w:rsidDel="00000000" w:rsidP="00000000" w:rsidRDefault="00000000" w:rsidRPr="00000000" w14:paraId="00000129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Posologie </w:t>
      </w:r>
    </w:p>
    <w:p w:rsidR="00000000" w:rsidDel="00000000" w:rsidP="00000000" w:rsidRDefault="00000000" w:rsidRPr="00000000" w14:paraId="0000012A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Rythme d’administration</w:t>
      </w:r>
    </w:p>
    <w:p w:rsidR="00000000" w:rsidDel="00000000" w:rsidP="00000000" w:rsidRDefault="00000000" w:rsidRPr="00000000" w14:paraId="0000012B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Durée du traitement</w:t>
      </w:r>
    </w:p>
    <w:p w:rsidR="00000000" w:rsidDel="00000000" w:rsidP="00000000" w:rsidRDefault="00000000" w:rsidRPr="00000000" w14:paraId="0000012C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Modalités précises de dilution ou de fractionnement en cas de déconditionnement d’une spécialité prévue pour adulte (non théoriqument autorisé mais souvent nécessaire en pratique en l’absence de forme galénique pédiatrique)</w:t>
      </w:r>
    </w:p>
    <w:p w:rsidR="00000000" w:rsidDel="00000000" w:rsidP="00000000" w:rsidRDefault="00000000" w:rsidRPr="00000000" w14:paraId="000001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numPr>
          <w:ilvl w:val="1"/>
          <w:numId w:val="1"/>
        </w:numPr>
        <w:ind w:left="720" w:hanging="360"/>
        <w:rPr>
          <w:b w:val="1"/>
        </w:rPr>
      </w:pPr>
      <w:bookmarkStart w:colFirst="0" w:colLast="0" w:name="_ts160ybwj4lz" w:id="20"/>
      <w:bookmarkEnd w:id="20"/>
      <w:r w:rsidDel="00000000" w:rsidR="00000000" w:rsidRPr="00000000">
        <w:rPr>
          <w:b w:val="1"/>
          <w:rtl w:val="0"/>
        </w:rPr>
        <w:t xml:space="preserve">CONCLUSION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Approche thérapeutique du nouveau-né et enfant :</w:t>
      </w:r>
    </w:p>
    <w:p w:rsidR="00000000" w:rsidDel="00000000" w:rsidP="00000000" w:rsidRDefault="00000000" w:rsidRPr="00000000" w14:paraId="00000130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Souvent différente de celle de l’adulte</w:t>
      </w:r>
    </w:p>
    <w:p w:rsidR="00000000" w:rsidDel="00000000" w:rsidP="00000000" w:rsidRDefault="00000000" w:rsidRPr="00000000" w14:paraId="00000131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➡</w:t>
      </w:r>
      <w:r w:rsidDel="00000000" w:rsidR="00000000" w:rsidRPr="00000000">
        <w:rPr>
          <w:rtl w:val="0"/>
        </w:rPr>
        <w:t xml:space="preserve"> Pharmacologie du développement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Choix thérapeutique dicté par :</w:t>
      </w:r>
    </w:p>
    <w:p w:rsidR="00000000" w:rsidDel="00000000" w:rsidP="00000000" w:rsidRDefault="00000000" w:rsidRPr="00000000" w14:paraId="00000133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Etablissement d’un diagnostic précis</w:t>
      </w:r>
    </w:p>
    <w:p w:rsidR="00000000" w:rsidDel="00000000" w:rsidP="00000000" w:rsidRDefault="00000000" w:rsidRPr="00000000" w14:paraId="00000134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Connaissance du médicament le plus efficace</w:t>
      </w:r>
    </w:p>
    <w:p w:rsidR="00000000" w:rsidDel="00000000" w:rsidP="00000000" w:rsidRDefault="00000000" w:rsidRPr="00000000" w14:paraId="00000135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Connaissance des effets indésirables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Administration de la dose optimale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Préférence à la voie orale, chaque fois que la nature du médicament et de l’affection le permet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y Antra RAZAFIMANANTSOA" w:id="0" w:date="2022-04-07T10:46:00Z"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banga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Quattrocento Sans"/>
  <w:font w:name="Noto Sans Symbols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360" w:hanging="360"/>
      </w:pPr>
      <w:rPr>
        <w:rFonts w:ascii="Calibri" w:cs="Calibri" w:eastAsia="Calibri" w:hAnsi="Calibri"/>
      </w:rPr>
    </w:lvl>
    <w:lvl w:ilvl="1">
      <w:start w:val="1"/>
      <w:numFmt w:val="upperRoman"/>
      <w:lvlText w:val="%2."/>
      <w:lvlJc w:val="left"/>
      <w:pPr>
        <w:ind w:left="720" w:hanging="360"/>
      </w:pPr>
      <w:rPr/>
    </w:lvl>
    <w:lvl w:ilvl="2">
      <w:start w:val="1"/>
      <w:numFmt w:val="decimal"/>
      <w:lvlText w:val="%3."/>
      <w:lvlJc w:val="left"/>
      <w:pPr>
        <w:ind w:left="1080" w:hanging="360"/>
      </w:pPr>
      <w:rPr/>
    </w:lvl>
    <w:lvl w:ilvl="3">
      <w:start w:val="1"/>
      <w:numFmt w:val="decimal"/>
      <w:lvlText w:val="%4)"/>
      <w:lvlJc w:val="left"/>
      <w:pPr>
        <w:ind w:left="1440" w:hanging="360"/>
      </w:pPr>
      <w:rPr/>
    </w:lvl>
    <w:lvl w:ilvl="4">
      <w:start w:val="1"/>
      <w:numFmt w:val="lowerLetter"/>
      <w:lvlText w:val="%5)"/>
      <w:lvlJc w:val="left"/>
      <w:pPr>
        <w:ind w:left="1800" w:hanging="360"/>
      </w:pPr>
      <w:rPr/>
    </w:lvl>
    <w:lvl w:ilvl="5">
      <w:start w:val="1"/>
      <w:numFmt w:val="bullet"/>
      <w:lvlText w:val="►"/>
      <w:lvlJc w:val="left"/>
      <w:pPr>
        <w:ind w:left="2160" w:hanging="360"/>
      </w:pPr>
      <w:rPr>
        <w:rFonts w:ascii="Times New Roman" w:cs="Times New Roman" w:eastAsia="Times New Roman" w:hAnsi="Times New Roman"/>
      </w:rPr>
    </w:lvl>
    <w:lvl w:ilvl="6">
      <w:start w:val="1"/>
      <w:numFmt w:val="bullet"/>
      <w:lvlText w:val="✶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fr-FR"/>
      </w:rPr>
    </w:rPrDefault>
    <w:pPrDefault>
      <w:pPr>
        <w:spacing w:after="160" w:line="276" w:lineRule="auto"/>
        <w:ind w:left="720" w:hanging="36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0" w:lineRule="auto"/>
      <w:ind w:left="426" w:hanging="66.00000000000001"/>
    </w:pPr>
    <w:rPr>
      <w:rFonts w:ascii="Calibri" w:cs="Calibri" w:eastAsia="Calibri" w:hAnsi="Calibri"/>
      <w:color w:val="5b9bd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40" w:lineRule="auto"/>
      <w:ind w:left="709" w:firstLine="10.999999999999943"/>
    </w:pPr>
    <w:rPr>
      <w:rFonts w:ascii="Calibri" w:cs="Calibri" w:eastAsia="Calibri" w:hAnsi="Calibri"/>
      <w:color w:val="1f4e79"/>
      <w:sz w:val="28"/>
      <w:szCs w:val="28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spacing w:after="120" w:before="40" w:lineRule="auto"/>
      <w:ind w:left="993" w:firstLine="87.00000000000003"/>
    </w:pPr>
    <w:rPr>
      <w:rFonts w:ascii="Calibri" w:cs="Calibri" w:eastAsia="Calibri" w:hAnsi="Calibri"/>
      <w:color w:val="2e75b5"/>
      <w:sz w:val="26"/>
      <w:szCs w:val="2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top w:color="5b9bd5" w:space="1" w:sz="8" w:val="single"/>
        <w:bottom w:color="5b9bd5" w:space="1" w:sz="8" w:val="single"/>
      </w:pBdr>
      <w:spacing w:after="480" w:line="240" w:lineRule="auto"/>
      <w:ind w:left="357" w:hanging="357"/>
      <w:jc w:val="center"/>
    </w:pPr>
    <w:rPr>
      <w:rFonts w:ascii="Calibri" w:cs="Calibri" w:eastAsia="Calibri" w:hAnsi="Calibri"/>
      <w:b w:val="1"/>
      <w:smallCaps w:val="1"/>
      <w:color w:val="323e4f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4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