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46D61C" w14:textId="0F182A49" w:rsidR="006570C4" w:rsidRPr="00F60378" w:rsidRDefault="00563B2E" w:rsidP="006E05B0">
      <w:pPr>
        <w:pStyle w:val="Titre1"/>
      </w:pPr>
      <w:bookmarkStart w:id="68" w:name="_Toc98155140"/>
      <w:r w:rsidRPr="00F60378">
        <w:lastRenderedPageBreak/>
        <w:t>NEPHROPATHIE LUPIQUE</w:t>
      </w:r>
      <w:bookmarkEnd w:id="68"/>
    </w:p>
    <w:p w14:paraId="1790E37D" w14:textId="77777777" w:rsidR="006570C4" w:rsidRPr="00F60378" w:rsidRDefault="00563B2E" w:rsidP="00563B2E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Néphropathie lupique : présence de protéinurie &gt; 0,5 g/24h ou </w:t>
      </w:r>
      <w:r w:rsidRPr="00F60378">
        <w:rPr>
          <w:rFonts w:ascii="Times New Roman" w:hAnsi="Times New Roman" w:cs="Times New Roman"/>
        </w:rPr>
        <w:sym w:font="Symbol" w:char="F0B3"/>
      </w:r>
      <w:r w:rsidRPr="00F60378">
        <w:rPr>
          <w:rFonts w:ascii="Times New Roman" w:hAnsi="Times New Roman" w:cs="Times New Roman"/>
        </w:rPr>
        <w:t xml:space="preserve"> 3+ et/ou hématurie, leucocyturie, hémoglobinurie, cellules tubulaires</w:t>
      </w:r>
    </w:p>
    <w:p w14:paraId="2C73FADE" w14:textId="77777777" w:rsidR="006570C4" w:rsidRPr="00F60378" w:rsidRDefault="00563B2E" w:rsidP="00563B2E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Protéinurie/Créatininurie &gt; 0,5 et &gt; 5 GR ou GB par champ</w:t>
      </w:r>
    </w:p>
    <w:p w14:paraId="786BE2EC" w14:textId="77777777" w:rsidR="006570C4" w:rsidRPr="00F60378" w:rsidRDefault="00563B2E" w:rsidP="00563B2E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Histologie : stigmates de Glomérulonéphrite avec complexe immun compatible avec NL</w:t>
      </w:r>
    </w:p>
    <w:p w14:paraId="4F37806A" w14:textId="1F463335" w:rsidR="00824A19" w:rsidRPr="00F60378" w:rsidRDefault="00824A19">
      <w:pPr>
        <w:ind w:left="720"/>
        <w:rPr>
          <w:rFonts w:ascii="Times New Roman" w:hAnsi="Times New Roman" w:cs="Times New Roman"/>
        </w:rPr>
      </w:pPr>
    </w:p>
    <w:p w14:paraId="632743C8" w14:textId="0C44DE9B" w:rsidR="00824A19" w:rsidRPr="00F60378" w:rsidRDefault="009C45F2" w:rsidP="009C45F2">
      <w:pPr>
        <w:pStyle w:val="Titre2"/>
        <w:rPr>
          <w:rFonts w:ascii="Times New Roman" w:hAnsi="Times New Roman" w:cs="Times New Roman"/>
        </w:rPr>
      </w:pPr>
      <w:bookmarkStart w:id="69" w:name="_Toc98155141"/>
      <w:r w:rsidRPr="00F60378">
        <w:rPr>
          <w:rFonts w:ascii="Times New Roman" w:hAnsi="Times New Roman" w:cs="Times New Roman"/>
        </w:rPr>
        <w:t>INTRODUCTION</w:t>
      </w:r>
      <w:bookmarkEnd w:id="69"/>
    </w:p>
    <w:p w14:paraId="799AC9E1" w14:textId="77777777" w:rsidR="006570C4" w:rsidRPr="00F60378" w:rsidRDefault="00563B2E" w:rsidP="009C45F2">
      <w:pPr>
        <w:pStyle w:val="Titre3"/>
        <w:rPr>
          <w:rFonts w:ascii="Times New Roman" w:hAnsi="Times New Roman" w:cs="Times New Roman"/>
        </w:rPr>
      </w:pPr>
      <w:bookmarkStart w:id="70" w:name="_Toc98155142"/>
      <w:r w:rsidRPr="00F60378">
        <w:rPr>
          <w:rFonts w:ascii="Times New Roman" w:hAnsi="Times New Roman" w:cs="Times New Roman"/>
        </w:rPr>
        <w:t>Epidémiologie :</w:t>
      </w:r>
      <w:bookmarkEnd w:id="70"/>
    </w:p>
    <w:p w14:paraId="423FC136" w14:textId="77777777" w:rsidR="006570C4" w:rsidRPr="00F60378" w:rsidRDefault="00563B2E" w:rsidP="00563B2E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35% des lupiques ont une NL au moment du diagnostic</w:t>
      </w:r>
    </w:p>
    <w:p w14:paraId="22E413DA" w14:textId="77777777" w:rsidR="006570C4" w:rsidRPr="00F60378" w:rsidRDefault="00563B2E" w:rsidP="00563B2E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Durant 10 ans d’évolution, apparition de NL dans 60% des cas</w:t>
      </w:r>
    </w:p>
    <w:p w14:paraId="22DA66DE" w14:textId="77777777" w:rsidR="006570C4" w:rsidRPr="00F60378" w:rsidRDefault="00563B2E" w:rsidP="009C45F2">
      <w:pPr>
        <w:pStyle w:val="Titre3"/>
        <w:rPr>
          <w:rFonts w:ascii="Times New Roman" w:hAnsi="Times New Roman" w:cs="Times New Roman"/>
        </w:rPr>
      </w:pPr>
      <w:bookmarkStart w:id="71" w:name="_Toc98155143"/>
      <w:r w:rsidRPr="00F60378">
        <w:rPr>
          <w:rFonts w:ascii="Times New Roman" w:hAnsi="Times New Roman" w:cs="Times New Roman"/>
        </w:rPr>
        <w:t>Physiopathologie</w:t>
      </w:r>
      <w:bookmarkEnd w:id="71"/>
    </w:p>
    <w:p w14:paraId="2FA90FDE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Hyperactivité lymphocytaire T et B =&gt; production d’auto-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dirigés contre de nombreux Ag moléculaires intracellulaire, membranaire ou de protéine plasmatique</w:t>
      </w:r>
    </w:p>
    <w:p w14:paraId="03D27A7D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La liaison des auto-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aux Ag cibles forment des complexes immuns circulants (C.I.C) ou tissulaire</w:t>
      </w:r>
    </w:p>
    <w:p w14:paraId="3CB1C1C9" w14:textId="762897A4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Les C.I.C activent la voie classique du complément, et les cellules leucocytaires (monocytes, macrophage, PN, cellules </w:t>
      </w:r>
      <w:r w:rsidR="009D77EF" w:rsidRPr="00F60378">
        <w:rPr>
          <w:rFonts w:ascii="Times New Roman" w:hAnsi="Times New Roman" w:cs="Times New Roman"/>
        </w:rPr>
        <w:t>NK, ...</w:t>
      </w:r>
      <w:r w:rsidRPr="00F60378">
        <w:rPr>
          <w:rFonts w:ascii="Times New Roman" w:hAnsi="Times New Roman" w:cs="Times New Roman"/>
        </w:rPr>
        <w:t>)</w:t>
      </w:r>
    </w:p>
    <w:p w14:paraId="0A641497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L’activation de ces processus inflammatoire -&gt; lésions tissulaires</w:t>
      </w:r>
    </w:p>
    <w:p w14:paraId="3C768CCB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GN à dépôts de complexes immuns et d’</w:t>
      </w:r>
      <w:proofErr w:type="spellStart"/>
      <w:r w:rsidRPr="00F60378">
        <w:rPr>
          <w:rFonts w:ascii="Times New Roman" w:hAnsi="Times New Roman" w:cs="Times New Roman"/>
        </w:rPr>
        <w:t>Ig</w:t>
      </w:r>
      <w:proofErr w:type="spellEnd"/>
    </w:p>
    <w:p w14:paraId="2B041A78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Néphrite </w:t>
      </w:r>
      <w:proofErr w:type="spellStart"/>
      <w:r w:rsidRPr="00F60378">
        <w:rPr>
          <w:rFonts w:ascii="Times New Roman" w:hAnsi="Times New Roman" w:cs="Times New Roman"/>
        </w:rPr>
        <w:t>tubulo</w:t>
      </w:r>
      <w:proofErr w:type="spellEnd"/>
      <w:r w:rsidRPr="00F60378">
        <w:rPr>
          <w:rFonts w:ascii="Times New Roman" w:hAnsi="Times New Roman" w:cs="Times New Roman"/>
        </w:rPr>
        <w:t>-interstitiel, avec ou sans dépôts immuns le long des membranes basales tubulaires</w:t>
      </w:r>
    </w:p>
    <w:p w14:paraId="57783573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Dysfonction tubulaire distale</w:t>
      </w:r>
    </w:p>
    <w:p w14:paraId="39A75E09" w14:textId="77777777" w:rsidR="006570C4" w:rsidRPr="00F60378" w:rsidRDefault="00563B2E" w:rsidP="00563B2E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-&gt; acidose tubulaire liée à la présence d’auto-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dirigés contre les constituants des cellules intercalaires</w:t>
      </w:r>
    </w:p>
    <w:p w14:paraId="64CF5044" w14:textId="77777777" w:rsidR="006570C4" w:rsidRPr="00F60378" w:rsidRDefault="00563B2E" w:rsidP="00563B2E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  <w:u w:val="single"/>
        </w:rPr>
        <w:t xml:space="preserve">Atteinte vasculaire : </w:t>
      </w:r>
    </w:p>
    <w:p w14:paraId="0047281C" w14:textId="77777777" w:rsidR="006570C4" w:rsidRPr="00F60378" w:rsidRDefault="00563B2E" w:rsidP="00563B2E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Type vasculaire avec lésion de nécrose fibrinoïde obstructive, peu ou pas inflammatoire, dépôts de complexes immuns</w:t>
      </w:r>
    </w:p>
    <w:p w14:paraId="44DA60C3" w14:textId="77777777" w:rsidR="006570C4" w:rsidRPr="00F60378" w:rsidRDefault="00563B2E" w:rsidP="00563B2E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Type microangiopathie thrombotique dans les petites artères et les capillaires glomérulaires et grosses branches artérielles</w:t>
      </w:r>
    </w:p>
    <w:p w14:paraId="08BEE13A" w14:textId="77777777" w:rsidR="006570C4" w:rsidRPr="00F60378" w:rsidRDefault="00563B2E" w:rsidP="00563B2E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En plus le 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anti-PL circulants (!! avortement spontanée chez la femme)</w:t>
      </w:r>
    </w:p>
    <w:p w14:paraId="1DD31B68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46CF1423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72" w:name="_Toc98155144"/>
      <w:r w:rsidRPr="00F60378">
        <w:rPr>
          <w:rFonts w:ascii="Times New Roman" w:hAnsi="Times New Roman" w:cs="Times New Roman"/>
        </w:rPr>
        <w:t>DIAGNOSTIC</w:t>
      </w:r>
      <w:bookmarkEnd w:id="72"/>
    </w:p>
    <w:p w14:paraId="114454C4" w14:textId="77777777" w:rsidR="006570C4" w:rsidRPr="00F60378" w:rsidRDefault="00563B2E" w:rsidP="00563B2E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Signes extra-rénaux +++</w:t>
      </w:r>
    </w:p>
    <w:p w14:paraId="057492B6" w14:textId="77777777" w:rsidR="006570C4" w:rsidRPr="00F60378" w:rsidRDefault="00563B2E" w:rsidP="00563B2E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Critères diagnostiques du lupus +++</w:t>
      </w:r>
    </w:p>
    <w:p w14:paraId="642D09BC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2EDB654A" w14:textId="77777777" w:rsidR="006570C4" w:rsidRPr="00F60378" w:rsidRDefault="00563B2E" w:rsidP="009C45F2">
      <w:pPr>
        <w:pStyle w:val="Titre3"/>
        <w:rPr>
          <w:rFonts w:ascii="Times New Roman" w:hAnsi="Times New Roman" w:cs="Times New Roman"/>
        </w:rPr>
      </w:pPr>
      <w:bookmarkStart w:id="73" w:name="_Toc98155145"/>
      <w:r w:rsidRPr="00F60378">
        <w:rPr>
          <w:rFonts w:ascii="Times New Roman" w:hAnsi="Times New Roman" w:cs="Times New Roman"/>
        </w:rPr>
        <w:t>ANAPATH</w:t>
      </w:r>
      <w:bookmarkEnd w:id="73"/>
    </w:p>
    <w:p w14:paraId="31C98241" w14:textId="77777777" w:rsidR="006570C4" w:rsidRPr="00F60378" w:rsidRDefault="00563B2E" w:rsidP="005E481F">
      <w:pPr>
        <w:pStyle w:val="Titre4"/>
      </w:pPr>
      <w:r w:rsidRPr="00F60378">
        <w:rPr>
          <w:bCs/>
        </w:rPr>
        <w:t xml:space="preserve">Classe I : </w:t>
      </w:r>
      <w:r w:rsidRPr="00F60378">
        <w:t>optique normale</w:t>
      </w:r>
    </w:p>
    <w:p w14:paraId="1A96BE33" w14:textId="77777777" w:rsidR="006570C4" w:rsidRPr="00F60378" w:rsidRDefault="00563B2E" w:rsidP="005E481F">
      <w:pPr>
        <w:pStyle w:val="Titre4"/>
      </w:pPr>
      <w:r w:rsidRPr="00F60378">
        <w:rPr>
          <w:bCs/>
        </w:rPr>
        <w:t xml:space="preserve">Classe II : </w:t>
      </w:r>
      <w:r w:rsidRPr="00F60378">
        <w:t>prolifération mésangiale (</w:t>
      </w:r>
      <w:r w:rsidRPr="00F60378">
        <w:rPr>
          <w:i/>
        </w:rPr>
        <w:t xml:space="preserve">fréquence 10 à 20%) : </w:t>
      </w:r>
      <w:r w:rsidRPr="00F60378">
        <w:rPr>
          <w:bCs/>
        </w:rPr>
        <w:t>GN mésangiale (II)</w:t>
      </w:r>
    </w:p>
    <w:p w14:paraId="240B620D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Atteinte glomérulaire précoce, modérée</w:t>
      </w:r>
    </w:p>
    <w:p w14:paraId="63BD570D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Hématurie microscopique</w:t>
      </w:r>
    </w:p>
    <w:p w14:paraId="71C16EC1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de faible abondance</w:t>
      </w:r>
    </w:p>
    <w:p w14:paraId="24C2C492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néphrotique possible</w:t>
      </w:r>
    </w:p>
    <w:p w14:paraId="5EFBE297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HTA rare</w:t>
      </w:r>
    </w:p>
    <w:p w14:paraId="003094A0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Sans insuffisance rénale</w:t>
      </w:r>
    </w:p>
    <w:p w14:paraId="62C26277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Sans </w:t>
      </w:r>
      <w:proofErr w:type="spellStart"/>
      <w:r w:rsidRPr="00F60378">
        <w:rPr>
          <w:rFonts w:ascii="Times New Roman" w:hAnsi="Times New Roman" w:cs="Times New Roman"/>
        </w:rPr>
        <w:t>hypocomplémentémie</w:t>
      </w:r>
      <w:proofErr w:type="spellEnd"/>
    </w:p>
    <w:p w14:paraId="56484CBE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Faible élévation des 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anti-DNA</w:t>
      </w:r>
    </w:p>
    <w:p w14:paraId="2EB4F143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Pronostic rénal excellent</w:t>
      </w:r>
    </w:p>
    <w:p w14:paraId="6E9861D1" w14:textId="6E8D27F9" w:rsidR="006570C4" w:rsidRPr="00F60378" w:rsidRDefault="00563B2E" w:rsidP="005E481F">
      <w:pPr>
        <w:pStyle w:val="Titre4"/>
      </w:pPr>
      <w:r w:rsidRPr="00F60378">
        <w:rPr>
          <w:bCs/>
        </w:rPr>
        <w:t xml:space="preserve">Classe III : </w:t>
      </w:r>
      <w:r w:rsidRPr="00F60378">
        <w:t xml:space="preserve">prolifération endo +/- </w:t>
      </w:r>
      <w:proofErr w:type="spellStart"/>
      <w:r w:rsidRPr="00F60378">
        <w:t>extracapillaire</w:t>
      </w:r>
      <w:proofErr w:type="spellEnd"/>
      <w:r w:rsidRPr="00F60378">
        <w:t xml:space="preserve"> focale </w:t>
      </w:r>
      <w:r w:rsidR="009D77EF" w:rsidRPr="00F60378">
        <w:t>(&lt;</w:t>
      </w:r>
      <w:r w:rsidRPr="00F60378">
        <w:t xml:space="preserve"> 50% des glomérules) = ébauche de croissant (fréquence : 10 à 20%)</w:t>
      </w:r>
    </w:p>
    <w:p w14:paraId="66ED7DE4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Atteinte glomérulaire, </w:t>
      </w:r>
      <w:proofErr w:type="spellStart"/>
      <w:r w:rsidRPr="00F60378">
        <w:rPr>
          <w:rFonts w:ascii="Times New Roman" w:hAnsi="Times New Roman" w:cs="Times New Roman"/>
        </w:rPr>
        <w:t>mésangiopathie</w:t>
      </w:r>
      <w:proofErr w:type="spellEnd"/>
      <w:r w:rsidRPr="00F60378">
        <w:rPr>
          <w:rFonts w:ascii="Times New Roman" w:hAnsi="Times New Roman" w:cs="Times New Roman"/>
        </w:rPr>
        <w:t xml:space="preserve"> avancée</w:t>
      </w:r>
    </w:p>
    <w:p w14:paraId="4003947B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et hématurie quasi-constante</w:t>
      </w:r>
    </w:p>
    <w:p w14:paraId="646407CD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néphrotique, HTA, IR</w:t>
      </w:r>
    </w:p>
    <w:p w14:paraId="6C8C2A7F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50% des glomérules sont atteints par la prolifération (active ou inactive), souvent segmentaire et nécrosante</w:t>
      </w:r>
    </w:p>
    <w:p w14:paraId="584740F9" w14:textId="45A84229" w:rsidR="006570C4" w:rsidRPr="00F60378" w:rsidRDefault="009D77EF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Dépôts plus uniformes</w:t>
      </w:r>
      <w:r w:rsidR="00563B2E" w:rsidRPr="00F60378">
        <w:rPr>
          <w:rFonts w:ascii="Times New Roman" w:hAnsi="Times New Roman" w:cs="Times New Roman"/>
        </w:rPr>
        <w:t xml:space="preserve"> d’IgG et C3</w:t>
      </w:r>
    </w:p>
    <w:p w14:paraId="40946D98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Sous-classes de la classe III distinguées selon la présence ou non de lésions actives (IIIA) ou chroniques (IIIC)</w:t>
      </w:r>
    </w:p>
    <w:p w14:paraId="193D3198" w14:textId="77777777" w:rsidR="006570C4" w:rsidRPr="00F60378" w:rsidRDefault="00563B2E" w:rsidP="005E481F">
      <w:pPr>
        <w:pStyle w:val="Titre4"/>
      </w:pPr>
      <w:r w:rsidRPr="00F60378">
        <w:rPr>
          <w:bCs/>
        </w:rPr>
        <w:t xml:space="preserve">Classe IV : </w:t>
      </w:r>
      <w:r w:rsidRPr="00F60378">
        <w:t xml:space="preserve">prolifération endo +/- </w:t>
      </w:r>
      <w:proofErr w:type="spellStart"/>
      <w:r w:rsidRPr="00F60378">
        <w:t>extracapillaire</w:t>
      </w:r>
      <w:proofErr w:type="spellEnd"/>
      <w:r w:rsidRPr="00F60378">
        <w:t xml:space="preserve"> diffuse (&gt; 50% des glomérules)</w:t>
      </w:r>
    </w:p>
    <w:p w14:paraId="5BA451BC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Clinique : plus sévère, la plus fréquente</w:t>
      </w:r>
    </w:p>
    <w:p w14:paraId="49E07802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50% parmi les Néphropathies lupiques</w:t>
      </w:r>
    </w:p>
    <w:p w14:paraId="4368AEFB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Protéinurie et hématurie</w:t>
      </w:r>
    </w:p>
    <w:p w14:paraId="220DAD40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néphrotique</w:t>
      </w:r>
    </w:p>
    <w:p w14:paraId="01BC3078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HTA, insuffisance rénale : fréquentes</w:t>
      </w:r>
    </w:p>
    <w:p w14:paraId="2B9C1242" w14:textId="70AA98E2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néphritique aiguë : sédiment urinaire “actif</w:t>
      </w:r>
      <w:r w:rsidR="009D77EF" w:rsidRPr="00F60378">
        <w:rPr>
          <w:rFonts w:ascii="Times New Roman" w:hAnsi="Times New Roman" w:cs="Times New Roman"/>
        </w:rPr>
        <w:t>” ;</w:t>
      </w:r>
      <w:r w:rsidRPr="00F60378">
        <w:rPr>
          <w:rFonts w:ascii="Times New Roman" w:hAnsi="Times New Roman" w:cs="Times New Roman"/>
        </w:rPr>
        <w:t xml:space="preserve"> insuffisance rénale aiguë ou rapidement progressive</w:t>
      </w:r>
    </w:p>
    <w:p w14:paraId="1D753D55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Hypocomplémentémie</w:t>
      </w:r>
      <w:proofErr w:type="spellEnd"/>
    </w:p>
    <w:p w14:paraId="35BE97B5" w14:textId="77777777" w:rsidR="006570C4" w:rsidRPr="00F60378" w:rsidRDefault="00563B2E" w:rsidP="00563B2E">
      <w:pPr>
        <w:numPr>
          <w:ilvl w:val="2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Augmentation significative du taux d’Ac anti-DNA</w:t>
      </w:r>
    </w:p>
    <w:p w14:paraId="6BCECC93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Lésions comme celles de Classe III, plus étendues et plus sévères</w:t>
      </w:r>
    </w:p>
    <w:p w14:paraId="778B0ABA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Atteintes nécrosantes et des croissants extra-capillaires</w:t>
      </w:r>
    </w:p>
    <w:p w14:paraId="2C276DFE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Dépôts sous-endothéliaux (</w:t>
      </w:r>
      <w:proofErr w:type="spellStart"/>
      <w:r w:rsidRPr="00F60378">
        <w:rPr>
          <w:rFonts w:ascii="Times New Roman" w:hAnsi="Times New Roman" w:cs="Times New Roman"/>
        </w:rPr>
        <w:t>endomembraneux</w:t>
      </w:r>
      <w:proofErr w:type="spellEnd"/>
      <w:r w:rsidRPr="00F60378">
        <w:rPr>
          <w:rFonts w:ascii="Times New Roman" w:hAnsi="Times New Roman" w:cs="Times New Roman"/>
        </w:rPr>
        <w:t>) de complément et d’</w:t>
      </w:r>
      <w:proofErr w:type="spellStart"/>
      <w:r w:rsidRPr="00F60378">
        <w:rPr>
          <w:rFonts w:ascii="Times New Roman" w:hAnsi="Times New Roman" w:cs="Times New Roman"/>
        </w:rPr>
        <w:t>Ig</w:t>
      </w:r>
      <w:proofErr w:type="spellEnd"/>
    </w:p>
    <w:p w14:paraId="7FB37CD1" w14:textId="3BD2D2FC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Ces dépôts peuvent épaissir et “rigidifier” la paroi capillaire glomérulaire (Anses “fil de fer” ou “</w:t>
      </w:r>
      <w:proofErr w:type="spellStart"/>
      <w:r w:rsidRPr="00F60378">
        <w:rPr>
          <w:rFonts w:ascii="Times New Roman" w:hAnsi="Times New Roman" w:cs="Times New Roman"/>
        </w:rPr>
        <w:t>wire</w:t>
      </w:r>
      <w:proofErr w:type="spellEnd"/>
      <w:r w:rsidRPr="00F60378">
        <w:rPr>
          <w:rFonts w:ascii="Times New Roman" w:hAnsi="Times New Roman" w:cs="Times New Roman"/>
        </w:rPr>
        <w:t xml:space="preserve"> </w:t>
      </w:r>
      <w:proofErr w:type="spellStart"/>
      <w:r w:rsidRPr="00F60378">
        <w:rPr>
          <w:rFonts w:ascii="Times New Roman" w:hAnsi="Times New Roman" w:cs="Times New Roman"/>
        </w:rPr>
        <w:t>loops</w:t>
      </w:r>
      <w:proofErr w:type="spellEnd"/>
      <w:r w:rsidR="009D77EF" w:rsidRPr="00F60378">
        <w:rPr>
          <w:rFonts w:ascii="Times New Roman" w:hAnsi="Times New Roman" w:cs="Times New Roman"/>
        </w:rPr>
        <w:t>”)</w:t>
      </w:r>
      <w:r w:rsidRPr="00F60378">
        <w:rPr>
          <w:rFonts w:ascii="Times New Roman" w:hAnsi="Times New Roman" w:cs="Times New Roman"/>
        </w:rPr>
        <w:t xml:space="preserve"> ou comme dans la glomérulonéphrite </w:t>
      </w:r>
      <w:proofErr w:type="spellStart"/>
      <w:r w:rsidRPr="00F60378">
        <w:rPr>
          <w:rFonts w:ascii="Times New Roman" w:hAnsi="Times New Roman" w:cs="Times New Roman"/>
        </w:rPr>
        <w:t>membrano</w:t>
      </w:r>
      <w:proofErr w:type="spellEnd"/>
      <w:r w:rsidRPr="00F60378">
        <w:rPr>
          <w:rFonts w:ascii="Times New Roman" w:hAnsi="Times New Roman" w:cs="Times New Roman"/>
        </w:rPr>
        <w:t>-proliférative</w:t>
      </w:r>
    </w:p>
    <w:p w14:paraId="23C84C13" w14:textId="48E24F38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Glomérulonéphrite proliférative diffuse segmentaire (Classe IV-S) </w:t>
      </w:r>
      <w:r w:rsidRPr="00F60378">
        <w:rPr>
          <w:rFonts w:ascii="Times New Roman" w:hAnsi="Times New Roman" w:cs="Times New Roman"/>
        </w:rPr>
        <w:t xml:space="preserve">ou </w:t>
      </w:r>
      <w:r w:rsidRPr="00F60378">
        <w:rPr>
          <w:rFonts w:ascii="Times New Roman" w:hAnsi="Times New Roman" w:cs="Times New Roman"/>
          <w:b/>
          <w:bCs/>
        </w:rPr>
        <w:t xml:space="preserve">globale (IV-G </w:t>
      </w:r>
      <w:r w:rsidRPr="00F60378">
        <w:rPr>
          <w:rFonts w:ascii="Times New Roman" w:hAnsi="Times New Roman" w:cs="Times New Roman"/>
        </w:rPr>
        <w:t xml:space="preserve">: glomérules 50% </w:t>
      </w:r>
      <w:r w:rsidR="009D77EF" w:rsidRPr="00F60378">
        <w:rPr>
          <w:rFonts w:ascii="Times New Roman" w:hAnsi="Times New Roman" w:cs="Times New Roman"/>
        </w:rPr>
        <w:t>atteints)</w:t>
      </w:r>
    </w:p>
    <w:p w14:paraId="561B28FA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Sous-classes additionnelles selon </w:t>
      </w:r>
      <w:r w:rsidRPr="00F60378">
        <w:rPr>
          <w:rFonts w:ascii="Times New Roman" w:hAnsi="Times New Roman" w:cs="Times New Roman"/>
          <w:b/>
          <w:bCs/>
        </w:rPr>
        <w:t xml:space="preserve">la présence ou l’absence de lésions actives (A) </w:t>
      </w:r>
      <w:r w:rsidRPr="00F60378">
        <w:rPr>
          <w:rFonts w:ascii="Times New Roman" w:hAnsi="Times New Roman" w:cs="Times New Roman"/>
        </w:rPr>
        <w:t xml:space="preserve">ou </w:t>
      </w:r>
      <w:r w:rsidRPr="00F60378">
        <w:rPr>
          <w:rFonts w:ascii="Times New Roman" w:hAnsi="Times New Roman" w:cs="Times New Roman"/>
          <w:b/>
          <w:bCs/>
        </w:rPr>
        <w:t>chronique (C)</w:t>
      </w:r>
    </w:p>
    <w:p w14:paraId="6AFFE1E0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Voir le degré d’activité (inflammation active) ou de chronicité (lésions cicatricielles glomérulaires, fibrose interstitielle et atrophie) pour évaluer le risque évolutif et l’intérêt d’un immunosuppresseur</w:t>
      </w:r>
    </w:p>
    <w:p w14:paraId="75892D28" w14:textId="0F641EFA" w:rsidR="006570C4" w:rsidRPr="00F60378" w:rsidRDefault="00563B2E" w:rsidP="005E481F">
      <w:pPr>
        <w:pStyle w:val="Titre4"/>
      </w:pPr>
      <w:r w:rsidRPr="00F60378">
        <w:rPr>
          <w:bCs/>
        </w:rPr>
        <w:t xml:space="preserve">Classe V : </w:t>
      </w:r>
      <w:r w:rsidRPr="00F60378">
        <w:t>Glomérulonéphrite extra-</w:t>
      </w:r>
      <w:r w:rsidR="009D77EF" w:rsidRPr="00F60378">
        <w:t>membraneuse ;</w:t>
      </w:r>
      <w:r w:rsidRPr="00F60378">
        <w:t xml:space="preserve"> fréquence : 10 - 20%</w:t>
      </w:r>
    </w:p>
    <w:p w14:paraId="2A964F32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néphrotique, hématurie, HTA</w:t>
      </w:r>
    </w:p>
    <w:p w14:paraId="6368E7C9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</w:t>
      </w:r>
    </w:p>
    <w:p w14:paraId="4A90F3D1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Histologie : épaississement diffus de la membrane basale glomérulaire et nombreux dépôts extra-membraneux (sous-épithéliaux)</w:t>
      </w:r>
    </w:p>
    <w:p w14:paraId="35E6850C" w14:textId="77777777" w:rsidR="006570C4" w:rsidRPr="00F60378" w:rsidRDefault="00563B2E" w:rsidP="005E481F">
      <w:pPr>
        <w:pStyle w:val="Titre4"/>
      </w:pPr>
      <w:r w:rsidRPr="00F60378">
        <w:rPr>
          <w:bCs/>
        </w:rPr>
        <w:t>Classe VI :</w:t>
      </w:r>
      <w:r w:rsidRPr="00F60378">
        <w:t xml:space="preserve"> Glomérulonéphrite sclérosante</w:t>
      </w:r>
    </w:p>
    <w:p w14:paraId="678AFB51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Cicatrisation d’une lésion inflammatoire antérieure</w:t>
      </w:r>
    </w:p>
    <w:p w14:paraId="59D84A16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90% des glomérules globalement sclérosés</w:t>
      </w:r>
    </w:p>
    <w:p w14:paraId="599F0AE7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 chronique</w:t>
      </w:r>
    </w:p>
    <w:p w14:paraId="457222C0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Protéinurie variable</w:t>
      </w:r>
    </w:p>
    <w:p w14:paraId="46ABE9A1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Sans signe d’activité du sédiment urinaire (sans hématurie ni leucocyturie ni cylindre)</w:t>
      </w:r>
    </w:p>
    <w:p w14:paraId="4C2EA313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Possible sans signes cliniques ni sérologique d’activité de la maladie lupique</w:t>
      </w:r>
    </w:p>
    <w:p w14:paraId="3432E4B9" w14:textId="77777777" w:rsidR="006570C4" w:rsidRPr="00F60378" w:rsidRDefault="00563B2E" w:rsidP="00563B2E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&gt; 90% des glomérules sclérosés</w:t>
      </w:r>
    </w:p>
    <w:p w14:paraId="26B3A262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74" w:name="_Toc98155146"/>
      <w:r w:rsidRPr="00F60378">
        <w:rPr>
          <w:rFonts w:ascii="Times New Roman" w:hAnsi="Times New Roman" w:cs="Times New Roman"/>
        </w:rPr>
        <w:t>PRONOSTIC</w:t>
      </w:r>
      <w:bookmarkEnd w:id="74"/>
    </w:p>
    <w:p w14:paraId="54693EBA" w14:textId="77777777" w:rsidR="006570C4" w:rsidRPr="00F60378" w:rsidRDefault="00563B2E" w:rsidP="00563B2E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Classe III et IV :</w:t>
      </w:r>
    </w:p>
    <w:p w14:paraId="64983717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Pronostic rénal mauvais à court terme sans traitement</w:t>
      </w:r>
    </w:p>
    <w:p w14:paraId="3E865F2C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Urgence thérapeutique</w:t>
      </w:r>
    </w:p>
    <w:p w14:paraId="43FDF174" w14:textId="77777777" w:rsidR="006570C4" w:rsidRPr="00F60378" w:rsidRDefault="00563B2E" w:rsidP="00563B2E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Classe V : </w:t>
      </w:r>
    </w:p>
    <w:p w14:paraId="0024BA26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Risque à long terme</w:t>
      </w:r>
    </w:p>
    <w:p w14:paraId="1C05F077" w14:textId="77777777" w:rsidR="006570C4" w:rsidRPr="00F60378" w:rsidRDefault="00563B2E" w:rsidP="00563B2E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Facteurs pronostics :</w:t>
      </w:r>
    </w:p>
    <w:p w14:paraId="2AE6C29A" w14:textId="76666D85" w:rsidR="006570C4" w:rsidRPr="00F60378" w:rsidRDefault="009D77EF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Race noire</w:t>
      </w:r>
    </w:p>
    <w:p w14:paraId="71C446BD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Conditions socio-économiques défavorables</w:t>
      </w:r>
    </w:p>
    <w:p w14:paraId="11DAB4BA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HTA non contrôlée</w:t>
      </w:r>
    </w:p>
    <w:p w14:paraId="0E5404FC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Score élevé de lésions actives et chronique sur la PBR initiale</w:t>
      </w:r>
    </w:p>
    <w:p w14:paraId="485000FA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 d’emblée</w:t>
      </w:r>
    </w:p>
    <w:p w14:paraId="404250F6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Mauvaise réponse à la thérapeutique de première ligne</w:t>
      </w:r>
    </w:p>
    <w:p w14:paraId="4B28B48C" w14:textId="77777777" w:rsidR="006570C4" w:rsidRPr="00F60378" w:rsidRDefault="00563B2E" w:rsidP="00563B2E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Récidives rénales</w:t>
      </w:r>
    </w:p>
    <w:bookmarkStart w:id="75" w:name="_Toc98155147"/>
    <w:p w14:paraId="5AF917B6" w14:textId="77777777" w:rsidR="006570C4" w:rsidRPr="00F60378" w:rsidRDefault="009F003D" w:rsidP="006E05B0">
      <w:pPr>
        <w:pStyle w:val="Titre2"/>
      </w:pPr>
      <w:sdt>
        <w:sdtPr>
          <w:tag w:val="goog_rdk_0"/>
          <w:id w:val="-1426034736"/>
        </w:sdtPr>
        <w:sdtEndPr/>
        <w:sdtContent>
          <w:commentRangeStart w:id="76"/>
        </w:sdtContent>
      </w:sdt>
      <w:r w:rsidR="00563B2E" w:rsidRPr="00F60378">
        <w:t>TRAITEMENT</w:t>
      </w:r>
      <w:commentRangeEnd w:id="76"/>
      <w:r w:rsidR="00563B2E" w:rsidRPr="00F60378">
        <w:rPr>
          <w:rStyle w:val="Marquedecommentaire"/>
          <w:rFonts w:ascii="Times New Roman" w:hAnsi="Times New Roman" w:cs="Times New Roman"/>
        </w:rPr>
        <w:commentReference w:id="76"/>
      </w:r>
      <w:bookmarkEnd w:id="75"/>
    </w:p>
    <w:p w14:paraId="210F8526" w14:textId="77777777" w:rsidR="006570C4" w:rsidRPr="00F60378" w:rsidRDefault="00563B2E" w:rsidP="00563B2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Classe I, II : </w:t>
      </w:r>
      <w:r w:rsidRPr="00F60378">
        <w:rPr>
          <w:rFonts w:ascii="Times New Roman" w:hAnsi="Times New Roman" w:cs="Times New Roman"/>
        </w:rPr>
        <w:t>sans traitement spécifique</w:t>
      </w:r>
    </w:p>
    <w:p w14:paraId="6B73C916" w14:textId="1D763B5F" w:rsidR="006570C4" w:rsidRPr="00F60378" w:rsidRDefault="00563B2E" w:rsidP="00563B2E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 xml:space="preserve">Classe VI : </w:t>
      </w:r>
      <w:r w:rsidRPr="00F60378">
        <w:rPr>
          <w:rFonts w:ascii="Times New Roman" w:hAnsi="Times New Roman" w:cs="Times New Roman"/>
        </w:rPr>
        <w:t>préparation à l’hémodialyse</w:t>
      </w:r>
    </w:p>
    <w:p w14:paraId="53F6395E" w14:textId="77777777" w:rsidR="006570C4" w:rsidRPr="00F60378" w:rsidRDefault="00563B2E" w:rsidP="009C45F2">
      <w:pPr>
        <w:pStyle w:val="Titre3"/>
        <w:numPr>
          <w:ilvl w:val="0"/>
          <w:numId w:val="85"/>
        </w:numPr>
        <w:rPr>
          <w:rFonts w:ascii="Times New Roman" w:hAnsi="Times New Roman" w:cs="Times New Roman"/>
        </w:rPr>
      </w:pPr>
      <w:bookmarkStart w:id="77" w:name="_Toc98155148"/>
      <w:r w:rsidRPr="00F60378">
        <w:rPr>
          <w:rFonts w:ascii="Times New Roman" w:hAnsi="Times New Roman" w:cs="Times New Roman"/>
        </w:rPr>
        <w:t>Traitement d’entretien :</w:t>
      </w:r>
      <w:bookmarkEnd w:id="77"/>
    </w:p>
    <w:p w14:paraId="2803A60A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Classe III, IV, V :</w:t>
      </w:r>
    </w:p>
    <w:p w14:paraId="2F058DC6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Corticothérapie</w:t>
      </w:r>
    </w:p>
    <w:p w14:paraId="031CAAFE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Hydroxychloroquine</w:t>
      </w:r>
    </w:p>
    <w:p w14:paraId="7DD87F60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Azathioprine</w:t>
      </w:r>
    </w:p>
    <w:p w14:paraId="759B936A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Cyclophosphamide</w:t>
      </w:r>
    </w:p>
    <w:p w14:paraId="6C733EEB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Ciclosporine </w:t>
      </w:r>
    </w:p>
    <w:p w14:paraId="1C41AF7D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Mycophénolate</w:t>
      </w:r>
      <w:proofErr w:type="spellEnd"/>
      <w:r w:rsidRPr="00F60378">
        <w:rPr>
          <w:rFonts w:ascii="Times New Roman" w:hAnsi="Times New Roman" w:cs="Times New Roman"/>
        </w:rPr>
        <w:t xml:space="preserve"> </w:t>
      </w:r>
      <w:proofErr w:type="spellStart"/>
      <w:r w:rsidRPr="00F60378">
        <w:rPr>
          <w:rFonts w:ascii="Times New Roman" w:hAnsi="Times New Roman" w:cs="Times New Roman"/>
        </w:rPr>
        <w:t>mofétil</w:t>
      </w:r>
      <w:proofErr w:type="spellEnd"/>
      <w:r w:rsidRPr="00F60378">
        <w:rPr>
          <w:rFonts w:ascii="Times New Roman" w:hAnsi="Times New Roman" w:cs="Times New Roman"/>
        </w:rPr>
        <w:t xml:space="preserve"> (MMF)</w:t>
      </w:r>
    </w:p>
    <w:p w14:paraId="1EF61A77" w14:textId="77777777" w:rsidR="006570C4" w:rsidRPr="00F60378" w:rsidRDefault="00563B2E" w:rsidP="00563B2E">
      <w:pPr>
        <w:numPr>
          <w:ilvl w:val="2"/>
          <w:numId w:val="79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anti-CD20 (Rituximab)</w:t>
      </w:r>
    </w:p>
    <w:p w14:paraId="626208B7" w14:textId="77777777" w:rsidR="006570C4" w:rsidRPr="00F60378" w:rsidRDefault="00563B2E" w:rsidP="009C45F2">
      <w:pPr>
        <w:pStyle w:val="Titre3"/>
        <w:numPr>
          <w:ilvl w:val="0"/>
          <w:numId w:val="85"/>
        </w:numPr>
        <w:rPr>
          <w:rFonts w:ascii="Times New Roman" w:hAnsi="Times New Roman" w:cs="Times New Roman"/>
        </w:rPr>
      </w:pPr>
      <w:bookmarkStart w:id="78" w:name="_Toc98155149"/>
      <w:r w:rsidRPr="00F60378">
        <w:rPr>
          <w:rFonts w:ascii="Times New Roman" w:hAnsi="Times New Roman" w:cs="Times New Roman"/>
        </w:rPr>
        <w:lastRenderedPageBreak/>
        <w:t>Traitement non spécifique :</w:t>
      </w:r>
      <w:bookmarkEnd w:id="78"/>
    </w:p>
    <w:p w14:paraId="65F54B3D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TA &lt; 130/80 mmHg</w:t>
      </w:r>
    </w:p>
    <w:p w14:paraId="0E545F8B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Activité physique</w:t>
      </w:r>
    </w:p>
    <w:p w14:paraId="55E21F0D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Dyslipidémie </w:t>
      </w:r>
    </w:p>
    <w:p w14:paraId="5ECE2178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Arrêt du tabac</w:t>
      </w:r>
    </w:p>
    <w:p w14:paraId="24E6DA14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IEC ou ARA2</w:t>
      </w:r>
    </w:p>
    <w:p w14:paraId="4748F0CE" w14:textId="77777777" w:rsidR="006570C4" w:rsidRPr="00F60378" w:rsidRDefault="00563B2E" w:rsidP="009C45F2">
      <w:pPr>
        <w:pStyle w:val="Titre3"/>
        <w:numPr>
          <w:ilvl w:val="0"/>
          <w:numId w:val="85"/>
        </w:numPr>
        <w:rPr>
          <w:rFonts w:ascii="Times New Roman" w:hAnsi="Times New Roman" w:cs="Times New Roman"/>
        </w:rPr>
      </w:pPr>
      <w:bookmarkStart w:id="79" w:name="_Toc98155150"/>
      <w:r w:rsidRPr="00F60378">
        <w:rPr>
          <w:rFonts w:ascii="Times New Roman" w:hAnsi="Times New Roman" w:cs="Times New Roman"/>
        </w:rPr>
        <w:t>Critères de réponse :</w:t>
      </w:r>
      <w:bookmarkEnd w:id="79"/>
    </w:p>
    <w:p w14:paraId="544AE9DF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Normalisation de la créatininémie &lt; 1 mois</w:t>
      </w:r>
    </w:p>
    <w:p w14:paraId="58FB0473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Normalisation des marqueurs de l’inflammation</w:t>
      </w:r>
    </w:p>
    <w:p w14:paraId="30E693F5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Diminution du titre des 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(test de </w:t>
      </w:r>
      <w:proofErr w:type="spellStart"/>
      <w:r w:rsidRPr="00F60378">
        <w:rPr>
          <w:rFonts w:ascii="Times New Roman" w:hAnsi="Times New Roman" w:cs="Times New Roman"/>
        </w:rPr>
        <w:t>Farr</w:t>
      </w:r>
      <w:proofErr w:type="spellEnd"/>
      <w:r w:rsidRPr="00F60378">
        <w:rPr>
          <w:rFonts w:ascii="Times New Roman" w:hAnsi="Times New Roman" w:cs="Times New Roman"/>
        </w:rPr>
        <w:t>)</w:t>
      </w:r>
    </w:p>
    <w:p w14:paraId="18C6F23A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Normalisation de C3 et C4</w:t>
      </w:r>
    </w:p>
    <w:p w14:paraId="234754D8" w14:textId="77777777" w:rsidR="006570C4" w:rsidRPr="00F60378" w:rsidRDefault="00563B2E" w:rsidP="00563B2E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Diminution de la protéinurie &gt; 50% à 1 mois</w:t>
      </w:r>
    </w:p>
    <w:p w14:paraId="335D539D" w14:textId="5391BB5B" w:rsidR="006570C4" w:rsidRPr="005E481F" w:rsidRDefault="00563B2E" w:rsidP="005E481F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Normalisation de la protéinurie &lt; 3 mois</w:t>
      </w:r>
    </w:p>
    <w:p w14:paraId="1E5D755F" w14:textId="77777777" w:rsidR="006570C4" w:rsidRPr="00F60378" w:rsidRDefault="00563B2E" w:rsidP="009C45F2">
      <w:pPr>
        <w:pStyle w:val="Titre2"/>
        <w:rPr>
          <w:rFonts w:ascii="Times New Roman" w:hAnsi="Times New Roman" w:cs="Times New Roman"/>
        </w:rPr>
      </w:pPr>
      <w:bookmarkStart w:id="80" w:name="_Toc98155151"/>
      <w:r w:rsidRPr="00F60378">
        <w:rPr>
          <w:rFonts w:ascii="Times New Roman" w:hAnsi="Times New Roman" w:cs="Times New Roman"/>
        </w:rPr>
        <w:t>SUIVI</w:t>
      </w:r>
      <w:bookmarkEnd w:id="80"/>
    </w:p>
    <w:p w14:paraId="026C84FF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Clinique (efficacité, tolérance)</w:t>
      </w:r>
    </w:p>
    <w:p w14:paraId="1836E90E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Cinétique de MMF entre J8 et J15 puis par an</w:t>
      </w:r>
    </w:p>
    <w:p w14:paraId="0D977D55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Dosage de l’hydroxychloroquine à 3 mois</w:t>
      </w:r>
    </w:p>
    <w:p w14:paraId="07AFD5B0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Créatininémie (par mois et 3 mois)</w:t>
      </w:r>
    </w:p>
    <w:p w14:paraId="7FA57010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Protéine/créatinine urinaires</w:t>
      </w:r>
    </w:p>
    <w:p w14:paraId="08C91FAF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C3 et C4</w:t>
      </w:r>
    </w:p>
    <w:p w14:paraId="26D13872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(test de </w:t>
      </w:r>
      <w:proofErr w:type="spellStart"/>
      <w:r w:rsidRPr="00F60378">
        <w:rPr>
          <w:rFonts w:ascii="Times New Roman" w:hAnsi="Times New Roman" w:cs="Times New Roman"/>
        </w:rPr>
        <w:t>Farr</w:t>
      </w:r>
      <w:proofErr w:type="spellEnd"/>
      <w:r w:rsidRPr="00F60378">
        <w:rPr>
          <w:rFonts w:ascii="Times New Roman" w:hAnsi="Times New Roman" w:cs="Times New Roman"/>
        </w:rPr>
        <w:t>)</w:t>
      </w:r>
    </w:p>
    <w:p w14:paraId="436F25E9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VS, fibrinogène, CRP</w:t>
      </w:r>
    </w:p>
    <w:p w14:paraId="1A0E33D6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BU (par mois et 3 mois)</w:t>
      </w:r>
    </w:p>
    <w:p w14:paraId="2DE76A91" w14:textId="77777777" w:rsidR="006570C4" w:rsidRPr="00F60378" w:rsidRDefault="00563B2E" w:rsidP="00563B2E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Vit D (25-OHD</w:t>
      </w:r>
      <w:r w:rsidRPr="00F60378">
        <w:rPr>
          <w:rFonts w:ascii="Times New Roman" w:hAnsi="Times New Roman" w:cs="Times New Roman"/>
          <w:vertAlign w:val="subscript"/>
        </w:rPr>
        <w:t>3</w:t>
      </w:r>
      <w:r w:rsidRPr="00F60378">
        <w:rPr>
          <w:rFonts w:ascii="Times New Roman" w:hAnsi="Times New Roman" w:cs="Times New Roman"/>
        </w:rPr>
        <w:t>)</w:t>
      </w:r>
    </w:p>
    <w:p w14:paraId="21EFFDA4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