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D1C138" w14:textId="0875BCF2" w:rsidR="006570C4" w:rsidRPr="00F60378" w:rsidRDefault="00563B2E" w:rsidP="006E05B0">
      <w:pPr>
        <w:pStyle w:val="Titre1"/>
      </w:pPr>
      <w:bookmarkStart w:id="21" w:name="_Toc98155093"/>
      <w:r w:rsidRPr="00F60378">
        <w:lastRenderedPageBreak/>
        <w:t>SYNDROME DE GOODPASTURE</w:t>
      </w:r>
      <w:bookmarkEnd w:id="21"/>
    </w:p>
    <w:p w14:paraId="7C6E863D" w14:textId="77777777" w:rsidR="006570C4" w:rsidRPr="00F60378" w:rsidRDefault="00563B2E" w:rsidP="00A070FD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Objectifs :</w:t>
      </w:r>
    </w:p>
    <w:p w14:paraId="3720CC12" w14:textId="77777777" w:rsidR="006570C4" w:rsidRPr="00F60378" w:rsidRDefault="00563B2E" w:rsidP="00563B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Décrire les signes des patients</w:t>
      </w:r>
    </w:p>
    <w:p w14:paraId="00419666" w14:textId="77777777" w:rsidR="006570C4" w:rsidRPr="00F60378" w:rsidRDefault="00563B2E" w:rsidP="00563B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Prescrire les principaux médicaments de traitements</w:t>
      </w:r>
    </w:p>
    <w:p w14:paraId="17620772" w14:textId="0133E794" w:rsidR="0043671D" w:rsidRPr="00F60378" w:rsidRDefault="0043671D" w:rsidP="0043671D">
      <w:pPr>
        <w:pStyle w:val="Titre2"/>
        <w:rPr>
          <w:rFonts w:ascii="Times New Roman" w:hAnsi="Times New Roman" w:cs="Times New Roman"/>
        </w:rPr>
      </w:pPr>
      <w:bookmarkStart w:id="22" w:name="_Toc98155094"/>
      <w:r w:rsidRPr="00F60378">
        <w:rPr>
          <w:rFonts w:ascii="Times New Roman" w:hAnsi="Times New Roman" w:cs="Times New Roman"/>
        </w:rPr>
        <w:t>INTRODUCTION</w:t>
      </w:r>
      <w:bookmarkEnd w:id="22"/>
    </w:p>
    <w:p w14:paraId="260D1847" w14:textId="77777777" w:rsidR="006570C4" w:rsidRPr="00F60378" w:rsidRDefault="00563B2E" w:rsidP="0043671D">
      <w:pPr>
        <w:pStyle w:val="Titre3"/>
        <w:rPr>
          <w:rFonts w:ascii="Times New Roman" w:hAnsi="Times New Roman" w:cs="Times New Roman"/>
        </w:rPr>
      </w:pPr>
      <w:bookmarkStart w:id="23" w:name="_Toc98155095"/>
      <w:r w:rsidRPr="00F60378">
        <w:rPr>
          <w:rFonts w:ascii="Times New Roman" w:hAnsi="Times New Roman" w:cs="Times New Roman"/>
        </w:rPr>
        <w:t>DEFINITION</w:t>
      </w:r>
      <w:bookmarkEnd w:id="23"/>
    </w:p>
    <w:p w14:paraId="5F692B4A" w14:textId="77777777" w:rsidR="006570C4" w:rsidRPr="00F60378" w:rsidRDefault="00563B2E" w:rsidP="00563B2E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Glomérulopathie proliférative</w:t>
      </w:r>
    </w:p>
    <w:p w14:paraId="60AEAB5E" w14:textId="77777777" w:rsidR="006570C4" w:rsidRPr="00F60378" w:rsidRDefault="00563B2E" w:rsidP="00563B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Mais “appartiendrait aux vascularites des petits vaisseaux” </w:t>
      </w:r>
    </w:p>
    <w:p w14:paraId="27F12E29" w14:textId="77777777" w:rsidR="006570C4" w:rsidRPr="00F60378" w:rsidRDefault="00563B2E" w:rsidP="00563B2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Chapel Hill 2012 Classification</w:t>
      </w:r>
    </w:p>
    <w:p w14:paraId="6A849BC8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C592D08" w14:textId="77777777" w:rsidR="006570C4" w:rsidRPr="00F60378" w:rsidRDefault="00563B2E" w:rsidP="0043671D">
      <w:pPr>
        <w:pStyle w:val="Titre3"/>
        <w:rPr>
          <w:rFonts w:ascii="Times New Roman" w:hAnsi="Times New Roman" w:cs="Times New Roman"/>
        </w:rPr>
      </w:pPr>
      <w:bookmarkStart w:id="24" w:name="_Toc98155096"/>
      <w:r w:rsidRPr="00F60378">
        <w:rPr>
          <w:rFonts w:ascii="Times New Roman" w:hAnsi="Times New Roman" w:cs="Times New Roman"/>
        </w:rPr>
        <w:t>EPIDEMIOLOGIE</w:t>
      </w:r>
      <w:bookmarkEnd w:id="24"/>
    </w:p>
    <w:p w14:paraId="042182E5" w14:textId="7B51163B" w:rsidR="006570C4" w:rsidRPr="00F60378" w:rsidRDefault="00563B2E" w:rsidP="00563B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Très rare (1 cas/ 1million d’habitants/</w:t>
      </w:r>
      <w:r w:rsidR="00824A19" w:rsidRPr="00F60378">
        <w:rPr>
          <w:rFonts w:ascii="Times New Roman" w:hAnsi="Times New Roman" w:cs="Times New Roman"/>
        </w:rPr>
        <w:t>an)</w:t>
      </w:r>
    </w:p>
    <w:p w14:paraId="14A74FC1" w14:textId="77777777" w:rsidR="006570C4" w:rsidRPr="00F60378" w:rsidRDefault="00563B2E" w:rsidP="00563B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Très brutal</w:t>
      </w:r>
    </w:p>
    <w:p w14:paraId="71AB5A4E" w14:textId="0C205496" w:rsidR="006570C4" w:rsidRPr="00F60378" w:rsidRDefault="00824A19" w:rsidP="00563B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Age :</w:t>
      </w:r>
      <w:r w:rsidR="00563B2E" w:rsidRPr="00F60378">
        <w:rPr>
          <w:rFonts w:ascii="Times New Roman" w:hAnsi="Times New Roman" w:cs="Times New Roman"/>
        </w:rPr>
        <w:t xml:space="preserve"> 20 ans ou après 60 ans</w:t>
      </w:r>
    </w:p>
    <w:p w14:paraId="55B44F35" w14:textId="7B66A836" w:rsidR="006570C4" w:rsidRPr="00F60378" w:rsidRDefault="00824A19" w:rsidP="00563B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Sexe :</w:t>
      </w:r>
      <w:r w:rsidR="00563B2E" w:rsidRPr="00F60378">
        <w:rPr>
          <w:rFonts w:ascii="Times New Roman" w:hAnsi="Times New Roman" w:cs="Times New Roman"/>
        </w:rPr>
        <w:t xml:space="preserve"> M&gt;F (</w:t>
      </w:r>
      <w:r w:rsidR="00A012F3" w:rsidRPr="00F60378">
        <w:rPr>
          <w:rFonts w:ascii="Times New Roman" w:hAnsi="Times New Roman" w:cs="Times New Roman"/>
        </w:rPr>
        <w:t>2 :</w:t>
      </w:r>
      <w:r w:rsidR="00563B2E" w:rsidRPr="00F60378">
        <w:rPr>
          <w:rFonts w:ascii="Times New Roman" w:hAnsi="Times New Roman" w:cs="Times New Roman"/>
        </w:rPr>
        <w:t>1)</w:t>
      </w:r>
    </w:p>
    <w:p w14:paraId="014F7B40" w14:textId="77777777" w:rsidR="006570C4" w:rsidRPr="00F60378" w:rsidRDefault="00563B2E" w:rsidP="00563B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Facteur précipitant : exposition à un toxique inhalé</w:t>
      </w:r>
    </w:p>
    <w:p w14:paraId="3ACA8DE0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25" w:name="_Toc98155097"/>
      <w:r w:rsidRPr="00F60378">
        <w:rPr>
          <w:rFonts w:ascii="Times New Roman" w:hAnsi="Times New Roman" w:cs="Times New Roman"/>
        </w:rPr>
        <w:t>PHYSIOPATHOLOGIE</w:t>
      </w:r>
      <w:bookmarkEnd w:id="25"/>
    </w:p>
    <w:p w14:paraId="07B195D5" w14:textId="0A29BA0D" w:rsidR="006570C4" w:rsidRPr="00F60378" w:rsidRDefault="00563B2E" w:rsidP="00563B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Les auto-anticorps ciblant la chaîne alpha3 du collagène IV sont les plus affins, et ils </w:t>
      </w:r>
      <w:r w:rsidR="00824A19" w:rsidRPr="00F60378">
        <w:rPr>
          <w:rFonts w:ascii="Times New Roman" w:hAnsi="Times New Roman" w:cs="Times New Roman"/>
        </w:rPr>
        <w:t>reconnaissent</w:t>
      </w:r>
      <w:r w:rsidRPr="00F60378">
        <w:rPr>
          <w:rFonts w:ascii="Times New Roman" w:hAnsi="Times New Roman" w:cs="Times New Roman"/>
        </w:rPr>
        <w:t xml:space="preserve"> la </w:t>
      </w:r>
      <w:r w:rsidR="00A012F3" w:rsidRPr="00F60378">
        <w:rPr>
          <w:rFonts w:ascii="Times New Roman" w:hAnsi="Times New Roman" w:cs="Times New Roman"/>
        </w:rPr>
        <w:t>MBG (</w:t>
      </w:r>
      <w:r w:rsidRPr="00F60378">
        <w:rPr>
          <w:rFonts w:ascii="Times New Roman" w:hAnsi="Times New Roman" w:cs="Times New Roman"/>
        </w:rPr>
        <w:t>membrane basale glomérulaire) et aussi la membrane alvéolaire</w:t>
      </w:r>
    </w:p>
    <w:p w14:paraId="42CDBC7C" w14:textId="77777777" w:rsidR="006570C4" w:rsidRPr="00F60378" w:rsidRDefault="00563B2E" w:rsidP="00563B2E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F60378">
        <w:rPr>
          <w:rFonts w:ascii="Times New Roman" w:hAnsi="Times New Roman" w:cs="Times New Roman"/>
        </w:rPr>
        <w:t>a</w:t>
      </w:r>
      <w:proofErr w:type="gramEnd"/>
      <w:r w:rsidRPr="00F60378">
        <w:rPr>
          <w:rFonts w:ascii="Times New Roman" w:hAnsi="Times New Roman" w:cs="Times New Roman"/>
        </w:rPr>
        <w:t xml:space="preserve">3col4 NC1 AA </w:t>
      </w:r>
      <w:r w:rsidRPr="00F60378">
        <w:rPr>
          <w:rFonts w:ascii="Times New Roman" w:hAnsi="Times New Roman" w:cs="Times New Roman"/>
        </w:rPr>
        <w:tab/>
      </w:r>
      <w:r w:rsidRPr="00F60378">
        <w:rPr>
          <w:rFonts w:ascii="Times New Roman" w:hAnsi="Times New Roman" w:cs="Times New Roman"/>
        </w:rPr>
        <w:tab/>
        <w:t>a5col4 NC1 11</w:t>
      </w:r>
    </w:p>
    <w:p w14:paraId="69C4AC0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390941BE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26" w:name="_Toc98155098"/>
      <w:r w:rsidRPr="00F60378">
        <w:rPr>
          <w:rFonts w:ascii="Times New Roman" w:hAnsi="Times New Roman" w:cs="Times New Roman"/>
        </w:rPr>
        <w:t>SIGNES</w:t>
      </w:r>
      <w:bookmarkEnd w:id="26"/>
    </w:p>
    <w:p w14:paraId="332BF9C1" w14:textId="77777777" w:rsidR="006570C4" w:rsidRPr="00F60378" w:rsidRDefault="00563B2E" w:rsidP="00563B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pneumo-rénal</w:t>
      </w:r>
    </w:p>
    <w:p w14:paraId="391931E3" w14:textId="6A76BCA2" w:rsidR="006570C4" w:rsidRPr="00F60378" w:rsidRDefault="00563B2E" w:rsidP="00563B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Hémorragie intra-</w:t>
      </w:r>
      <w:r w:rsidR="00A012F3" w:rsidRPr="00F60378">
        <w:rPr>
          <w:rFonts w:ascii="Times New Roman" w:hAnsi="Times New Roman" w:cs="Times New Roman"/>
        </w:rPr>
        <w:t>alvéolaire (</w:t>
      </w:r>
      <w:r w:rsidRPr="00F60378">
        <w:rPr>
          <w:rFonts w:ascii="Times New Roman" w:hAnsi="Times New Roman" w:cs="Times New Roman"/>
        </w:rPr>
        <w:t>50%) (Hémoptysie plus fréquente chez le fumeur)</w:t>
      </w:r>
    </w:p>
    <w:p w14:paraId="169BA3F7" w14:textId="77777777" w:rsidR="006570C4" w:rsidRPr="00F60378" w:rsidRDefault="00563B2E" w:rsidP="00563B2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 macroscopique</w:t>
      </w:r>
    </w:p>
    <w:p w14:paraId="6BEDEDAE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21C419D5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27" w:name="_Toc98155099"/>
      <w:r w:rsidRPr="00F60378">
        <w:rPr>
          <w:rFonts w:ascii="Times New Roman" w:hAnsi="Times New Roman" w:cs="Times New Roman"/>
        </w:rPr>
        <w:lastRenderedPageBreak/>
        <w:t>PARACLINIQUES</w:t>
      </w:r>
      <w:bookmarkEnd w:id="27"/>
    </w:p>
    <w:p w14:paraId="7B1FD053" w14:textId="58EA126F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Hémorragie intra-</w:t>
      </w:r>
      <w:r w:rsidR="00A012F3" w:rsidRPr="00F60378">
        <w:rPr>
          <w:rFonts w:ascii="Times New Roman" w:hAnsi="Times New Roman" w:cs="Times New Roman"/>
        </w:rPr>
        <w:t>alvéolaire (</w:t>
      </w:r>
      <w:r w:rsidRPr="00F60378">
        <w:rPr>
          <w:rFonts w:ascii="Times New Roman" w:hAnsi="Times New Roman" w:cs="Times New Roman"/>
        </w:rPr>
        <w:t xml:space="preserve">50%) (vue au lavage </w:t>
      </w:r>
      <w:r w:rsidR="00A012F3" w:rsidRPr="00F60378">
        <w:rPr>
          <w:rFonts w:ascii="Times New Roman" w:hAnsi="Times New Roman" w:cs="Times New Roman"/>
        </w:rPr>
        <w:t>bronchoalvéolaire :</w:t>
      </w:r>
      <w:r w:rsidRPr="00F60378">
        <w:rPr>
          <w:rFonts w:ascii="Times New Roman" w:hAnsi="Times New Roman" w:cs="Times New Roman"/>
        </w:rPr>
        <w:t xml:space="preserve"> </w:t>
      </w:r>
      <w:r w:rsidRPr="00F60378">
        <w:rPr>
          <w:rFonts w:ascii="Times New Roman" w:hAnsi="Times New Roman" w:cs="Times New Roman"/>
          <w:i/>
          <w:iCs/>
        </w:rPr>
        <w:t xml:space="preserve">recherche de cellules </w:t>
      </w:r>
      <w:proofErr w:type="spellStart"/>
      <w:r w:rsidRPr="00F60378">
        <w:rPr>
          <w:rFonts w:ascii="Times New Roman" w:hAnsi="Times New Roman" w:cs="Times New Roman"/>
          <w:b/>
          <w:bCs/>
          <w:i/>
          <w:iCs/>
        </w:rPr>
        <w:t>sidérophages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pour confirmer la présence de sang dans les alvéoles</w:t>
      </w:r>
      <w:r w:rsidRPr="00F60378">
        <w:rPr>
          <w:rFonts w:ascii="Times New Roman" w:hAnsi="Times New Roman" w:cs="Times New Roman"/>
        </w:rPr>
        <w:t>)</w:t>
      </w:r>
    </w:p>
    <w:p w14:paraId="0E87F917" w14:textId="77777777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Protéinurie (BU) </w:t>
      </w:r>
      <w:r w:rsidRPr="00F60378">
        <w:rPr>
          <w:rFonts w:ascii="Times New Roman" w:hAnsi="Times New Roman" w:cs="Times New Roman"/>
          <w:i/>
          <w:iCs/>
        </w:rPr>
        <w:t>variable</w:t>
      </w:r>
    </w:p>
    <w:p w14:paraId="116BA16E" w14:textId="77777777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</w:t>
      </w:r>
    </w:p>
    <w:p w14:paraId="691CA3AB" w14:textId="68E2AAB1" w:rsidR="006570C4" w:rsidRPr="00F60378" w:rsidRDefault="00A012F3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GNRP (</w:t>
      </w:r>
      <w:r w:rsidR="00563B2E" w:rsidRPr="00F60378">
        <w:rPr>
          <w:rFonts w:ascii="Times New Roman" w:hAnsi="Times New Roman" w:cs="Times New Roman"/>
          <w:i/>
          <w:iCs/>
        </w:rPr>
        <w:t xml:space="preserve">2 </w:t>
      </w:r>
      <w:r w:rsidRPr="00F60378">
        <w:rPr>
          <w:rFonts w:ascii="Times New Roman" w:hAnsi="Times New Roman" w:cs="Times New Roman"/>
          <w:i/>
          <w:iCs/>
        </w:rPr>
        <w:t>créatininémies :</w:t>
      </w:r>
      <w:r w:rsidR="00563B2E" w:rsidRPr="00F60378">
        <w:rPr>
          <w:rFonts w:ascii="Times New Roman" w:hAnsi="Times New Roman" w:cs="Times New Roman"/>
          <w:i/>
          <w:iCs/>
        </w:rPr>
        <w:t xml:space="preserve"> montée rapide)</w:t>
      </w:r>
      <w:r w:rsidR="00563B2E" w:rsidRPr="00F60378">
        <w:rPr>
          <w:rFonts w:ascii="Times New Roman" w:hAnsi="Times New Roman" w:cs="Times New Roman"/>
        </w:rPr>
        <w:t xml:space="preserve"> - Insuffisance rénale aiguë </w:t>
      </w:r>
    </w:p>
    <w:p w14:paraId="0ABFC57E" w14:textId="77777777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Anticorps anti-MBG (+)</w:t>
      </w:r>
    </w:p>
    <w:p w14:paraId="7A083B9A" w14:textId="5C3B6128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25% des </w:t>
      </w:r>
      <w:proofErr w:type="spellStart"/>
      <w:r w:rsidR="00A012F3" w:rsidRPr="00F60378">
        <w:rPr>
          <w:rFonts w:ascii="Times New Roman" w:hAnsi="Times New Roman" w:cs="Times New Roman"/>
        </w:rPr>
        <w:t>GoodPasture</w:t>
      </w:r>
      <w:proofErr w:type="spellEnd"/>
      <w:r w:rsidRPr="00F60378">
        <w:rPr>
          <w:rFonts w:ascii="Times New Roman" w:hAnsi="Times New Roman" w:cs="Times New Roman"/>
        </w:rPr>
        <w:t xml:space="preserve"> ont des ANCA</w:t>
      </w:r>
    </w:p>
    <w:p w14:paraId="28E37211" w14:textId="0D622DEF" w:rsidR="006570C4" w:rsidRPr="00F60378" w:rsidRDefault="00A012F3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</w:t>
      </w:r>
    </w:p>
    <w:p w14:paraId="389BB80A" w14:textId="77777777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82% ont eu des a-PR3 </w:t>
      </w:r>
      <w:r w:rsidRPr="00F60378">
        <w:rPr>
          <w:rFonts w:ascii="Times New Roman" w:hAnsi="Times New Roman" w:cs="Times New Roman"/>
          <w:i/>
          <w:iCs/>
        </w:rPr>
        <w:t>(protéinase 3)</w:t>
      </w:r>
    </w:p>
    <w:p w14:paraId="48F02482" w14:textId="5AB0FF58" w:rsidR="006570C4" w:rsidRPr="00F60378" w:rsidRDefault="00563B2E" w:rsidP="00563B2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73% ont eu des a-</w:t>
      </w:r>
      <w:r w:rsidR="00004F07" w:rsidRPr="00F60378">
        <w:rPr>
          <w:rFonts w:ascii="Times New Roman" w:hAnsi="Times New Roman" w:cs="Times New Roman"/>
        </w:rPr>
        <w:t>MPO</w:t>
      </w:r>
      <w:r w:rsidR="00004F07" w:rsidRPr="00F60378">
        <w:rPr>
          <w:rFonts w:ascii="Times New Roman" w:hAnsi="Times New Roman" w:cs="Times New Roman"/>
          <w:i/>
          <w:iCs/>
        </w:rPr>
        <w:t xml:space="preserve"> (myélopéroxydase</w:t>
      </w:r>
      <w:r w:rsidRPr="00F60378">
        <w:rPr>
          <w:rFonts w:ascii="Times New Roman" w:hAnsi="Times New Roman" w:cs="Times New Roman"/>
          <w:i/>
          <w:iCs/>
        </w:rPr>
        <w:t>)</w:t>
      </w:r>
    </w:p>
    <w:p w14:paraId="3FB57701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2FA32ACB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28" w:name="_Toc98155100"/>
      <w:r w:rsidRPr="00F60378">
        <w:rPr>
          <w:rFonts w:ascii="Times New Roman" w:hAnsi="Times New Roman" w:cs="Times New Roman"/>
        </w:rPr>
        <w:t>HISTOLOGIE</w:t>
      </w:r>
      <w:bookmarkEnd w:id="28"/>
    </w:p>
    <w:p w14:paraId="21AD87E3" w14:textId="1C1CFF98" w:rsidR="006570C4" w:rsidRPr="00F60378" w:rsidRDefault="00563B2E" w:rsidP="00563B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u w:val="single"/>
        </w:rPr>
        <w:t xml:space="preserve">En </w:t>
      </w:r>
      <w:r w:rsidR="00004F07" w:rsidRPr="00F60378">
        <w:rPr>
          <w:rFonts w:ascii="Times New Roman" w:hAnsi="Times New Roman" w:cs="Times New Roman"/>
          <w:u w:val="single"/>
        </w:rPr>
        <w:t>optique :</w:t>
      </w:r>
      <w:r w:rsidRPr="00F60378">
        <w:rPr>
          <w:rFonts w:ascii="Times New Roman" w:hAnsi="Times New Roman" w:cs="Times New Roman"/>
        </w:rPr>
        <w:t xml:space="preserve"> Prolifération </w:t>
      </w:r>
      <w:proofErr w:type="spellStart"/>
      <w:r w:rsidRPr="00F60378">
        <w:rPr>
          <w:rFonts w:ascii="Times New Roman" w:hAnsi="Times New Roman" w:cs="Times New Roman"/>
        </w:rPr>
        <w:t>extracapillaire</w:t>
      </w:r>
      <w:proofErr w:type="spellEnd"/>
    </w:p>
    <w:p w14:paraId="1942D6A6" w14:textId="77777777" w:rsidR="006570C4" w:rsidRPr="00F60378" w:rsidRDefault="00563B2E" w:rsidP="00563B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u w:val="single"/>
        </w:rPr>
        <w:t>En Immunofluorescence</w:t>
      </w:r>
    </w:p>
    <w:p w14:paraId="34316736" w14:textId="77777777" w:rsidR="006570C4" w:rsidRPr="00F60378" w:rsidRDefault="00563B2E" w:rsidP="00563B2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Dépôts linéaires d’IgG</w:t>
      </w:r>
    </w:p>
    <w:p w14:paraId="66515257" w14:textId="77777777" w:rsidR="006570C4" w:rsidRPr="00F60378" w:rsidRDefault="00563B2E" w:rsidP="00563B2E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IgA</w:t>
      </w:r>
      <w:proofErr w:type="spellEnd"/>
      <w:r w:rsidRPr="00F60378">
        <w:rPr>
          <w:rFonts w:ascii="Times New Roman" w:hAnsi="Times New Roman" w:cs="Times New Roman"/>
        </w:rPr>
        <w:t xml:space="preserve"> le long de la MBG</w:t>
      </w:r>
    </w:p>
    <w:p w14:paraId="58D0B7A2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5A21AE7F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29" w:name="_Toc98155101"/>
      <w:r w:rsidRPr="00F60378">
        <w:rPr>
          <w:rFonts w:ascii="Times New Roman" w:hAnsi="Times New Roman" w:cs="Times New Roman"/>
        </w:rPr>
        <w:t>TRAITEMENT</w:t>
      </w:r>
      <w:bookmarkEnd w:id="29"/>
    </w:p>
    <w:p w14:paraId="59302683" w14:textId="77777777" w:rsidR="006570C4" w:rsidRPr="00F60378" w:rsidRDefault="00563B2E" w:rsidP="00563B2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Corticoïdes</w:t>
      </w:r>
    </w:p>
    <w:p w14:paraId="27424A68" w14:textId="76605ED4" w:rsidR="006570C4" w:rsidRPr="00F60378" w:rsidRDefault="00004F07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Méthylprednisolone (</w:t>
      </w:r>
      <w:proofErr w:type="spellStart"/>
      <w:r w:rsidR="00563B2E" w:rsidRPr="00F60378">
        <w:rPr>
          <w:rFonts w:ascii="Times New Roman" w:hAnsi="Times New Roman" w:cs="Times New Roman"/>
        </w:rPr>
        <w:t>Solumedrol</w:t>
      </w:r>
      <w:proofErr w:type="spellEnd"/>
      <w:r w:rsidR="00563B2E" w:rsidRPr="00F60378">
        <w:rPr>
          <w:rFonts w:ascii="Times New Roman" w:hAnsi="Times New Roman" w:cs="Times New Roman"/>
        </w:rPr>
        <w:t>*) 5-15 mg/kg/j, 3 jours</w:t>
      </w:r>
    </w:p>
    <w:p w14:paraId="352D30F4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Puis à J4 Prednisone 1 mg/kg/j (max 60mg)</w:t>
      </w:r>
    </w:p>
    <w:p w14:paraId="21BBCAD2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Décroissance sur 6 à 12 mois</w:t>
      </w:r>
    </w:p>
    <w:p w14:paraId="3C60AD63" w14:textId="77777777" w:rsidR="006570C4" w:rsidRPr="00F60378" w:rsidRDefault="00563B2E" w:rsidP="00563B2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Cyclophosphamide per os</w:t>
      </w:r>
    </w:p>
    <w:p w14:paraId="63E8734C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2-3mg/kg/j</w:t>
      </w:r>
    </w:p>
    <w:p w14:paraId="679C1D9F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3 mois</w:t>
      </w:r>
    </w:p>
    <w:p w14:paraId="6B2955FE" w14:textId="77777777" w:rsidR="006570C4" w:rsidRPr="00F60378" w:rsidRDefault="00563B2E" w:rsidP="00563B2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Echanges plasmatiques</w:t>
      </w:r>
    </w:p>
    <w:p w14:paraId="2BD4ED6E" w14:textId="56846DA9" w:rsidR="006570C4" w:rsidRPr="00F60378" w:rsidRDefault="00004F07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Jusqu’à</w:t>
      </w:r>
      <w:r w:rsidR="00563B2E" w:rsidRPr="00F60378">
        <w:rPr>
          <w:rFonts w:ascii="Times New Roman" w:hAnsi="Times New Roman" w:cs="Times New Roman"/>
        </w:rPr>
        <w:t xml:space="preserve"> ce que les anti-GBM soient indétectables</w:t>
      </w:r>
    </w:p>
    <w:p w14:paraId="22A56E0E" w14:textId="473BAA1D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 (</w:t>
      </w:r>
      <w:r w:rsidR="00004F07" w:rsidRPr="00F60378">
        <w:rPr>
          <w:rFonts w:ascii="Times New Roman" w:hAnsi="Times New Roman" w:cs="Times New Roman"/>
        </w:rPr>
        <w:t>Max</w:t>
      </w:r>
      <w:r w:rsidRPr="00F60378">
        <w:rPr>
          <w:rFonts w:ascii="Times New Roman" w:hAnsi="Times New Roman" w:cs="Times New Roman"/>
        </w:rPr>
        <w:t xml:space="preserve"> : 14 EP)</w:t>
      </w:r>
    </w:p>
    <w:p w14:paraId="3F7BC170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2-3 litres/séance</w:t>
      </w:r>
    </w:p>
    <w:p w14:paraId="09B8C1EE" w14:textId="6EBAC540" w:rsidR="006570C4" w:rsidRPr="00F60378" w:rsidRDefault="00004F07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Compensation :</w:t>
      </w:r>
      <w:r w:rsidR="00563B2E" w:rsidRPr="00F60378">
        <w:rPr>
          <w:rFonts w:ascii="Times New Roman" w:hAnsi="Times New Roman" w:cs="Times New Roman"/>
        </w:rPr>
        <w:t xml:space="preserve"> </w:t>
      </w:r>
    </w:p>
    <w:p w14:paraId="0FF46B94" w14:textId="77777777" w:rsidR="006570C4" w:rsidRPr="00F60378" w:rsidRDefault="00563B2E" w:rsidP="00563B2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Albumine </w:t>
      </w:r>
    </w:p>
    <w:p w14:paraId="2ECFD55F" w14:textId="77777777" w:rsidR="006570C4" w:rsidRPr="00F60378" w:rsidRDefault="00563B2E" w:rsidP="00563B2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Plasma</w:t>
      </w:r>
    </w:p>
    <w:p w14:paraId="763977B9" w14:textId="77777777" w:rsidR="006570C4" w:rsidRPr="00F60378" w:rsidRDefault="00563B2E" w:rsidP="00563B2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Hémodialyse : Azathioprine en entretien</w:t>
      </w:r>
    </w:p>
    <w:p w14:paraId="15B2E8B9" w14:textId="77777777" w:rsidR="006570C4" w:rsidRPr="00F60378" w:rsidRDefault="00563B2E" w:rsidP="00563B2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12 mois</w:t>
      </w:r>
    </w:p>
    <w:p w14:paraId="0B96C612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3239513E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