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86907" w14:textId="7892719D" w:rsidR="00DA6E04" w:rsidRDefault="00DA6E04" w:rsidP="00E95696">
      <w:pPr>
        <w:pStyle w:val="Titre"/>
      </w:pPr>
      <w:r>
        <w:t>Anémie par insuffisance médullaire ou aplasie</w:t>
      </w:r>
      <w:r w:rsidR="00E93A52">
        <w:t xml:space="preserve"> (QE)</w:t>
      </w:r>
    </w:p>
    <w:p w14:paraId="3111FCFF" w14:textId="77777777" w:rsidR="00DA6E04" w:rsidRPr="00441780" w:rsidRDefault="00DA6E04" w:rsidP="00E95696">
      <w:pPr>
        <w:pStyle w:val="Titre1"/>
      </w:pPr>
      <w:r>
        <w:t>définition :</w:t>
      </w:r>
    </w:p>
    <w:p w14:paraId="1A23991B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 xml:space="preserve">Anémie par incapacité de la moelle à assurer une hématopoïèse normale </w:t>
      </w:r>
    </w:p>
    <w:p w14:paraId="62B56BCF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Anémie isolée </w:t>
      </w:r>
    </w:p>
    <w:p w14:paraId="64F5DD95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>Ou bicytopénie (anémie + neutropénie / thrombopénie)</w:t>
      </w:r>
    </w:p>
    <w:p w14:paraId="474280DC" w14:textId="77777777" w:rsidR="00DA6E04" w:rsidRPr="00824002" w:rsidRDefault="00DA6E04" w:rsidP="00E95696">
      <w:pPr>
        <w:pStyle w:val="Paragraphedeliste"/>
        <w:numPr>
          <w:ilvl w:val="1"/>
          <w:numId w:val="1"/>
        </w:numPr>
      </w:pPr>
      <w:r>
        <w:t xml:space="preserve">Ou pancytopénie (anémie + neutropénie + thrombopénie) </w:t>
      </w:r>
    </w:p>
    <w:p w14:paraId="5D5648B1" w14:textId="77777777" w:rsidR="00DA6E04" w:rsidRDefault="00DA6E04" w:rsidP="00E95696">
      <w:pPr>
        <w:pStyle w:val="Titre1"/>
      </w:pPr>
      <w:r>
        <w:t>Clinique :</w:t>
      </w:r>
    </w:p>
    <w:p w14:paraId="522FA729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BB4C27">
        <w:rPr>
          <w:b/>
          <w:bCs/>
        </w:rPr>
        <w:t xml:space="preserve">Début : </w:t>
      </w:r>
      <w:r>
        <w:t xml:space="preserve">insidieux (anémie ou hémorragique) brusque (infection) </w:t>
      </w:r>
    </w:p>
    <w:p w14:paraId="092CA936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 xml:space="preserve">Etat : </w:t>
      </w:r>
    </w:p>
    <w:p w14:paraId="116443E1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Anémie : </w:t>
      </w:r>
      <w:proofErr w:type="gramStart"/>
      <w:r>
        <w:t>asthénie,,</w:t>
      </w:r>
      <w:proofErr w:type="gramEnd"/>
      <w:r>
        <w:t xml:space="preserve"> dyspnée, tachycardie, S neurosensoriels </w:t>
      </w:r>
    </w:p>
    <w:p w14:paraId="4E8CB83F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Hémorragique : cutanéomuqueux, viscéral </w:t>
      </w:r>
    </w:p>
    <w:p w14:paraId="07853ADB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Infectieux : fièvre, angine, ulcération bucco-pharyngé </w:t>
      </w:r>
    </w:p>
    <w:p w14:paraId="1D2FA19A" w14:textId="77777777" w:rsidR="00DA6E04" w:rsidRDefault="00DA6E04" w:rsidP="00E95696">
      <w:pPr>
        <w:pStyle w:val="Titre1"/>
      </w:pPr>
      <w:r>
        <w:t>Biologie :</w:t>
      </w:r>
    </w:p>
    <w:p w14:paraId="475753B5" w14:textId="77777777" w:rsidR="00DA6E04" w:rsidRDefault="00DA6E04" w:rsidP="00E95696">
      <w:pPr>
        <w:pStyle w:val="Titre2"/>
      </w:pPr>
      <w:r>
        <w:t xml:space="preserve">Sang : </w:t>
      </w:r>
    </w:p>
    <w:p w14:paraId="7C331A85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NFS :</w:t>
      </w:r>
    </w:p>
    <w:p w14:paraId="4F8D635E" w14:textId="77777777" w:rsidR="00DA6E04" w:rsidRPr="00E551B3" w:rsidRDefault="00DA6E04" w:rsidP="00E95696">
      <w:pPr>
        <w:pStyle w:val="Paragraphedeliste"/>
        <w:numPr>
          <w:ilvl w:val="1"/>
          <w:numId w:val="1"/>
        </w:numPr>
      </w:pPr>
      <w:r w:rsidRPr="00E551B3">
        <w:rPr>
          <w:rFonts w:eastAsia="Arial Unicode MS"/>
        </w:rPr>
        <w:t xml:space="preserve">Anémie : normochrome normocytaire arégénérative (réticulocytes ↓) </w:t>
      </w:r>
    </w:p>
    <w:p w14:paraId="7E29DB25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Leucopénie : neutropénie, lymphocytose </w:t>
      </w:r>
    </w:p>
    <w:p w14:paraId="26C91E04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Thrombopénie variable </w:t>
      </w:r>
    </w:p>
    <w:p w14:paraId="0C9157CC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BB4C27">
        <w:rPr>
          <w:b/>
          <w:bCs/>
        </w:rPr>
        <w:t xml:space="preserve">Signes négatifs : </w:t>
      </w:r>
      <w:r>
        <w:t xml:space="preserve">fer normal, pas d’hémolyse </w:t>
      </w:r>
    </w:p>
    <w:p w14:paraId="3EE1E681" w14:textId="77777777" w:rsidR="00DA6E04" w:rsidRDefault="00DA6E04" w:rsidP="00E95696">
      <w:pPr>
        <w:pStyle w:val="Titre2"/>
      </w:pPr>
      <w:r>
        <w:t>Moelle :</w:t>
      </w:r>
    </w:p>
    <w:p w14:paraId="7B54C1F2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Médullogramme :</w:t>
      </w:r>
    </w:p>
    <w:p w14:paraId="7DA14E02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Frottis pauvre en éléments nucléées </w:t>
      </w:r>
    </w:p>
    <w:p w14:paraId="303A8E8D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Lignées érythroblastiques, granulocytaires, mégacaryocytaire, rares </w:t>
      </w:r>
    </w:p>
    <w:p w14:paraId="517B7962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Lymphocytose et plasmocytose relatives </w:t>
      </w:r>
    </w:p>
    <w:p w14:paraId="08EC8D5B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En fonction étiologie </w:t>
      </w:r>
    </w:p>
    <w:p w14:paraId="75F78CFC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Envahissement / hémopathies malignes, métastases </w:t>
      </w:r>
    </w:p>
    <w:p w14:paraId="34E890D7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Myélodysplasie </w:t>
      </w:r>
    </w:p>
    <w:p w14:paraId="59095428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Biopsie ostéo-médullaire :</w:t>
      </w:r>
    </w:p>
    <w:p w14:paraId="55EE6A61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Moelle pauvre, désertique </w:t>
      </w:r>
    </w:p>
    <w:p w14:paraId="36740200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>Modification structurales (fibres, vascularisation)</w:t>
      </w:r>
    </w:p>
    <w:p w14:paraId="1B7D9005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Formes cliniques</w:t>
      </w:r>
      <w:r>
        <w:rPr>
          <w:b/>
          <w:bCs/>
        </w:rPr>
        <w:t> :</w:t>
      </w:r>
    </w:p>
    <w:p w14:paraId="3B0AD760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Monocytopénie </w:t>
      </w:r>
    </w:p>
    <w:p w14:paraId="29F54343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Bicytopénie </w:t>
      </w:r>
    </w:p>
    <w:p w14:paraId="41221C75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Selon l’intensité et nature acquise et / ou congénitale </w:t>
      </w:r>
    </w:p>
    <w:p w14:paraId="54AA9A68" w14:textId="77777777" w:rsidR="00DA6E04" w:rsidRDefault="00DA6E04" w:rsidP="00E95696">
      <w:pPr>
        <w:pStyle w:val="Titre1"/>
      </w:pPr>
      <w:r>
        <w:t>Etiologies :</w:t>
      </w:r>
    </w:p>
    <w:p w14:paraId="2FF262D2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Adulte :</w:t>
      </w:r>
    </w:p>
    <w:p w14:paraId="00C5E05E" w14:textId="77777777" w:rsidR="00DA6E04" w:rsidRDefault="00DA6E04" w:rsidP="00E95696">
      <w:pPr>
        <w:pStyle w:val="Paragraphedeliste"/>
        <w:numPr>
          <w:ilvl w:val="1"/>
          <w:numId w:val="1"/>
        </w:numPr>
      </w:pPr>
      <w:r w:rsidRPr="00BB4C27">
        <w:rPr>
          <w:b/>
          <w:bCs/>
          <w:i/>
          <w:iCs/>
        </w:rPr>
        <w:lastRenderedPageBreak/>
        <w:t xml:space="preserve">Toxique : </w:t>
      </w:r>
      <w:r>
        <w:t>lignée granulocytaire +++</w:t>
      </w:r>
    </w:p>
    <w:p w14:paraId="423D33F7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Produits constamment toxiques benzène, antimitotiques, radiations ionisantes, métaux lourds </w:t>
      </w:r>
    </w:p>
    <w:p w14:paraId="40FF5EF4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Produits occasionnellement toxiques : chloramphénicol, hydantoïnes, antithyroïdiens de synthèse, antalgiques, AINS, sulfamides </w:t>
      </w:r>
    </w:p>
    <w:p w14:paraId="1FEA7BE0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Décoction traditionnelle </w:t>
      </w:r>
    </w:p>
    <w:p w14:paraId="019F13ED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Insecticide </w:t>
      </w:r>
    </w:p>
    <w:p w14:paraId="4ECC0C84" w14:textId="77777777" w:rsidR="00DA6E04" w:rsidRPr="00BB4C27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4C27">
        <w:rPr>
          <w:b/>
          <w:bCs/>
          <w:i/>
          <w:iCs/>
        </w:rPr>
        <w:t>Envahissement médullaire :</w:t>
      </w:r>
    </w:p>
    <w:p w14:paraId="0508FE3F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Cellules hématologiques (hémopathies malignes </w:t>
      </w:r>
    </w:p>
    <w:p w14:paraId="450E711B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Cellules métastatiques </w:t>
      </w:r>
    </w:p>
    <w:p w14:paraId="5615F7D1" w14:textId="77777777" w:rsidR="00DA6E04" w:rsidRPr="00BB4C27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4C27">
        <w:rPr>
          <w:b/>
          <w:bCs/>
          <w:i/>
          <w:iCs/>
        </w:rPr>
        <w:t>Autres :</w:t>
      </w:r>
    </w:p>
    <w:p w14:paraId="23D0F30E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Infections (tuberculose, virale) </w:t>
      </w:r>
    </w:p>
    <w:p w14:paraId="220929AB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Insuffisance rénale </w:t>
      </w:r>
    </w:p>
    <w:p w14:paraId="549046D5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Tumeur du thymus </w:t>
      </w:r>
    </w:p>
    <w:p w14:paraId="3DFA3EAF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Anémie hémolytique chronique évolutive </w:t>
      </w:r>
    </w:p>
    <w:p w14:paraId="4443893B" w14:textId="77777777" w:rsidR="00DA6E04" w:rsidRPr="00BB4C27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4C27">
        <w:rPr>
          <w:b/>
          <w:bCs/>
          <w:i/>
          <w:iCs/>
        </w:rPr>
        <w:t xml:space="preserve">Primitive </w:t>
      </w:r>
    </w:p>
    <w:p w14:paraId="6DF4651D" w14:textId="77777777" w:rsidR="00DA6E04" w:rsidRPr="00BB4C27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B4C27">
        <w:rPr>
          <w:b/>
          <w:bCs/>
        </w:rPr>
        <w:t>Enfant :</w:t>
      </w:r>
    </w:p>
    <w:p w14:paraId="53D7EAB7" w14:textId="77777777" w:rsidR="00DA6E04" w:rsidRPr="00B3107E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3107E">
        <w:rPr>
          <w:b/>
          <w:bCs/>
          <w:i/>
          <w:iCs/>
        </w:rPr>
        <w:t xml:space="preserve">Celles de l’adulte </w:t>
      </w:r>
    </w:p>
    <w:p w14:paraId="1D545EF3" w14:textId="77777777" w:rsidR="00DA6E04" w:rsidRPr="00B3107E" w:rsidRDefault="00DA6E04" w:rsidP="00E956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3107E">
        <w:rPr>
          <w:b/>
          <w:bCs/>
          <w:i/>
          <w:iCs/>
        </w:rPr>
        <w:t xml:space="preserve">Congénitales </w:t>
      </w:r>
    </w:p>
    <w:p w14:paraId="48CB5C67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Maladie de Blackfan Diamond (érythroblastopénie congénitale) </w:t>
      </w:r>
    </w:p>
    <w:p w14:paraId="3CA4CA3D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Maladie de Fanconi (aplasie congénitale) </w:t>
      </w:r>
    </w:p>
    <w:p w14:paraId="18EF5271" w14:textId="77777777" w:rsidR="00DA6E04" w:rsidRDefault="00DA6E04" w:rsidP="00E95696">
      <w:pPr>
        <w:pStyle w:val="Titre1"/>
      </w:pPr>
      <w:r>
        <w:t>Evolution :</w:t>
      </w:r>
    </w:p>
    <w:p w14:paraId="303A6915" w14:textId="77777777"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>Immédiatement favorable :</w:t>
      </w:r>
    </w:p>
    <w:p w14:paraId="4BDE0EAA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Toxique +++ (15 - 20ème jour) </w:t>
      </w:r>
    </w:p>
    <w:p w14:paraId="20E566E7" w14:textId="77777777"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 xml:space="preserve">Immédiatement défavorable </w:t>
      </w:r>
    </w:p>
    <w:p w14:paraId="1BA968EA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Aggravation </w:t>
      </w:r>
    </w:p>
    <w:p w14:paraId="4D2A86F0" w14:textId="77777777"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 xml:space="preserve">Subaiguë ou chronique </w:t>
      </w:r>
    </w:p>
    <w:p w14:paraId="73878C49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Compensation, prolongation </w:t>
      </w:r>
    </w:p>
    <w:p w14:paraId="321DCA53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&gt; Guérison ou aggravation </w:t>
      </w:r>
    </w:p>
    <w:p w14:paraId="3BE7AB18" w14:textId="77777777" w:rsidR="00DA6E04" w:rsidRDefault="00DA6E04" w:rsidP="00E95696">
      <w:pPr>
        <w:pStyle w:val="Titre1"/>
      </w:pPr>
      <w:r>
        <w:t xml:space="preserve">Traitement </w:t>
      </w:r>
    </w:p>
    <w:p w14:paraId="419B827F" w14:textId="77777777" w:rsidR="00DA6E04" w:rsidRDefault="00DA6E04" w:rsidP="00E95696">
      <w:pPr>
        <w:pStyle w:val="Titre2"/>
      </w:pPr>
      <w:r>
        <w:t>But :</w:t>
      </w:r>
    </w:p>
    <w:p w14:paraId="05EA269F" w14:textId="77777777" w:rsidR="00DA6E04" w:rsidRPr="00B3107E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B3107E">
        <w:rPr>
          <w:b/>
          <w:bCs/>
        </w:rPr>
        <w:t xml:space="preserve">Traiter les symptômes </w:t>
      </w:r>
    </w:p>
    <w:p w14:paraId="02D84522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Hémorragies, anémie, infection </w:t>
      </w:r>
    </w:p>
    <w:p w14:paraId="3DE0D2A3" w14:textId="77777777"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Reprendre activité médullaire </w:t>
      </w:r>
    </w:p>
    <w:p w14:paraId="74FD9446" w14:textId="77777777"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Traiter la cause </w:t>
      </w:r>
    </w:p>
    <w:p w14:paraId="3F2E4933" w14:textId="77777777" w:rsidR="00DA6E04" w:rsidRDefault="00DA6E04" w:rsidP="00E95696">
      <w:pPr>
        <w:pStyle w:val="Titre2"/>
      </w:pPr>
      <w:r>
        <w:t>Traitement des symptômes :</w:t>
      </w:r>
    </w:p>
    <w:p w14:paraId="6DBB0876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Anémie : </w:t>
      </w:r>
      <w:r>
        <w:t>transfusion culot globulaire (compatibilité ou avec RAI)</w:t>
      </w:r>
    </w:p>
    <w:p w14:paraId="3B407607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Hémorragie : </w:t>
      </w:r>
      <w:r>
        <w:t xml:space="preserve">transfusion plaquettes ou sang frais, corticoïdes </w:t>
      </w:r>
    </w:p>
    <w:p w14:paraId="32FCB865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Agranulocytose : </w:t>
      </w:r>
      <w:r>
        <w:t xml:space="preserve">chambre stérile, antibiothérapie, facteur de croissance GCSF, GM CSF si aplasie </w:t>
      </w:r>
    </w:p>
    <w:p w14:paraId="243AC9F8" w14:textId="77777777" w:rsidR="00DA6E04" w:rsidRDefault="00DA6E04" w:rsidP="00E95696"/>
    <w:p w14:paraId="7E62E94F" w14:textId="77777777" w:rsidR="00DA6E04" w:rsidRDefault="00DA6E04" w:rsidP="00E95696">
      <w:pPr>
        <w:pStyle w:val="Titre2"/>
      </w:pPr>
      <w:r>
        <w:lastRenderedPageBreak/>
        <w:t>Traitement de fond :</w:t>
      </w:r>
    </w:p>
    <w:p w14:paraId="339D8113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Arrêt toxique : </w:t>
      </w:r>
      <w:r>
        <w:t xml:space="preserve">décoction, drogue réputée myélotoxique, reclassement professionnel </w:t>
      </w:r>
    </w:p>
    <w:p w14:paraId="3C6D75AB" w14:textId="77777777"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Stimulants de la moelle osseuse </w:t>
      </w:r>
    </w:p>
    <w:p w14:paraId="4E47EAB3" w14:textId="77777777"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 xml:space="preserve">Immunosuppresseurs </w:t>
      </w:r>
    </w:p>
    <w:p w14:paraId="3803BD1B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 xml:space="preserve">Corticoïdes : </w:t>
      </w:r>
      <w:r>
        <w:t>forte dose (2,5 mg/kg Prednisone /j)</w:t>
      </w:r>
    </w:p>
    <w:p w14:paraId="027A73C1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C4716A">
        <w:rPr>
          <w:b/>
          <w:bCs/>
        </w:rPr>
        <w:t>Greffe de moelle</w:t>
      </w:r>
      <w:r>
        <w:t xml:space="preserve"> ou </w:t>
      </w:r>
      <w:r w:rsidRPr="00C4716A">
        <w:rPr>
          <w:b/>
          <w:bCs/>
        </w:rPr>
        <w:t>greffe de cellules souches</w:t>
      </w:r>
      <w:r>
        <w:t xml:space="preserve"> hématopoïétiques </w:t>
      </w:r>
    </w:p>
    <w:p w14:paraId="2EB75668" w14:textId="77777777" w:rsidR="00DA6E04" w:rsidRDefault="00DA6E04" w:rsidP="00E95696">
      <w:pPr>
        <w:pStyle w:val="Titre2"/>
      </w:pPr>
      <w:r>
        <w:t>Stimulants de la moelle osseuse :</w:t>
      </w:r>
    </w:p>
    <w:p w14:paraId="4A7A9C77" w14:textId="77777777" w:rsidR="00DA6E04" w:rsidRPr="00C4716A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4716A">
        <w:rPr>
          <w:b/>
          <w:bCs/>
        </w:rPr>
        <w:t>Anabolisant (androgènes) :</w:t>
      </w:r>
    </w:p>
    <w:p w14:paraId="5CD1530D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>Primobolan*</w:t>
      </w:r>
    </w:p>
    <w:p w14:paraId="656C010C" w14:textId="77777777" w:rsidR="00DA6E04" w:rsidRPr="00C751F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751FB">
        <w:rPr>
          <w:b/>
          <w:bCs/>
        </w:rPr>
        <w:t>Analogues de la thrombopoïétine :</w:t>
      </w:r>
    </w:p>
    <w:p w14:paraId="7B7115B4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Eltrombopag* </w:t>
      </w:r>
    </w:p>
    <w:p w14:paraId="3C5A8D42" w14:textId="77777777" w:rsidR="00DA6E04" w:rsidRPr="00C751F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C751FB">
        <w:rPr>
          <w:b/>
          <w:bCs/>
        </w:rPr>
        <w:t>G-CSF :</w:t>
      </w:r>
    </w:p>
    <w:p w14:paraId="78E9E1FB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>Neupogen*</w:t>
      </w:r>
    </w:p>
    <w:p w14:paraId="3F8F658D" w14:textId="77777777" w:rsidR="00DA6E04" w:rsidRDefault="00DA6E04" w:rsidP="00E95696">
      <w:pPr>
        <w:pStyle w:val="Titre2"/>
      </w:pPr>
      <w:r>
        <w:t>Anabolisants :</w:t>
      </w:r>
    </w:p>
    <w:p w14:paraId="7B37A65D" w14:textId="77777777" w:rsidR="00DA6E04" w:rsidRPr="007E742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Ceux qui sont </w:t>
      </w:r>
      <w:r w:rsidRPr="007E742B">
        <w:rPr>
          <w:b/>
          <w:bCs/>
        </w:rPr>
        <w:t>les moins androgènes :</w:t>
      </w:r>
    </w:p>
    <w:p w14:paraId="20F63D51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>Méténolone Primobolan*</w:t>
      </w:r>
    </w:p>
    <w:p w14:paraId="219B05E6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1 mg/kg/j &lt; 100 mg/j </w:t>
      </w:r>
    </w:p>
    <w:p w14:paraId="533E083E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>Fluoxymestérone Halotestin*</w:t>
      </w:r>
    </w:p>
    <w:p w14:paraId="0DCF1B80" w14:textId="77777777" w:rsidR="00DA6E04" w:rsidRDefault="00DA6E04" w:rsidP="00E95696">
      <w:pPr>
        <w:pStyle w:val="Paragraphedeliste"/>
        <w:numPr>
          <w:ilvl w:val="2"/>
          <w:numId w:val="1"/>
        </w:numPr>
      </w:pPr>
      <w:r>
        <w:t xml:space="preserve">2 - 4 comp à 5 mg/j </w:t>
      </w:r>
    </w:p>
    <w:p w14:paraId="5D5EC355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b/>
          <w:bCs/>
        </w:rPr>
        <w:t xml:space="preserve">Prolongée : </w:t>
      </w:r>
      <w:r>
        <w:t xml:space="preserve">sup 4 mois </w:t>
      </w:r>
    </w:p>
    <w:p w14:paraId="177878CF" w14:textId="77777777" w:rsidR="00DA6E04" w:rsidRPr="007E742B" w:rsidRDefault="00DA6E04" w:rsidP="00E95696">
      <w:pPr>
        <w:pStyle w:val="Paragraphedeliste"/>
        <w:numPr>
          <w:ilvl w:val="0"/>
          <w:numId w:val="1"/>
        </w:numPr>
        <w:rPr>
          <w:b/>
          <w:bCs/>
        </w:rPr>
      </w:pPr>
      <w:r w:rsidRPr="007E742B">
        <w:rPr>
          <w:b/>
          <w:bCs/>
        </w:rPr>
        <w:t xml:space="preserve">Arrêt progressif </w:t>
      </w:r>
    </w:p>
    <w:p w14:paraId="03BF6A61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b/>
          <w:bCs/>
        </w:rPr>
        <w:t xml:space="preserve">Complications : </w:t>
      </w:r>
      <w:r>
        <w:t xml:space="preserve">hépatiques, virilisantes </w:t>
      </w:r>
    </w:p>
    <w:p w14:paraId="6160C229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rFonts w:eastAsia="Arial Unicode MS"/>
          <w:b/>
          <w:bCs/>
        </w:rPr>
        <w:t>Anabolisants sensibles</w:t>
      </w:r>
      <w:r w:rsidRPr="004130F3">
        <w:rPr>
          <w:rFonts w:eastAsia="Arial Unicode MS"/>
        </w:rPr>
        <w:t xml:space="preserve"> (4 mois à 2 ans) / </w:t>
      </w:r>
      <w:r w:rsidRPr="007E742B">
        <w:rPr>
          <w:rFonts w:eastAsia="Arial Unicode MS"/>
          <w:b/>
          <w:bCs/>
        </w:rPr>
        <w:t>résistants</w:t>
      </w:r>
      <w:r w:rsidRPr="004130F3">
        <w:rPr>
          <w:rFonts w:eastAsia="Arial Unicode MS"/>
        </w:rPr>
        <w:t xml:space="preserve"> (→</w:t>
      </w:r>
      <w:r>
        <w:rPr>
          <w:rFonts w:eastAsia="Arial Unicode MS"/>
        </w:rPr>
        <w:t xml:space="preserve"> </w:t>
      </w:r>
      <w:r w:rsidRPr="004130F3">
        <w:rPr>
          <w:rFonts w:eastAsia="Arial Unicode MS"/>
        </w:rPr>
        <w:t>greffe de moelle)</w:t>
      </w:r>
    </w:p>
    <w:p w14:paraId="58057E34" w14:textId="77777777" w:rsidR="00DA6E04" w:rsidRDefault="00DA6E04" w:rsidP="00E95696">
      <w:pPr>
        <w:pStyle w:val="Titre2"/>
      </w:pPr>
      <w:r>
        <w:t>Immunosuppresseurs :</w:t>
      </w:r>
    </w:p>
    <w:p w14:paraId="65C76C87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La ciclosporine </w:t>
      </w:r>
    </w:p>
    <w:p w14:paraId="2E9B5681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Le sérum anti-lymphocytaire </w:t>
      </w:r>
    </w:p>
    <w:p w14:paraId="18525614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>L’alemtuzumab (Ac anti LT) :</w:t>
      </w:r>
    </w:p>
    <w:p w14:paraId="29BCEE1F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Etiologie idiopathique, auto immune </w:t>
      </w:r>
    </w:p>
    <w:p w14:paraId="5007DF39" w14:textId="77777777" w:rsidR="00DA6E04" w:rsidRDefault="00DA6E04" w:rsidP="00E95696">
      <w:pPr>
        <w:pStyle w:val="Titre2"/>
      </w:pPr>
      <w:r>
        <w:t>Greffe de moelle osseuse :</w:t>
      </w:r>
    </w:p>
    <w:p w14:paraId="590B5DE1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Donneur HLA compatible </w:t>
      </w:r>
    </w:p>
    <w:p w14:paraId="241D6837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>Conditionnement : aplasie (chimio, irradiation)</w:t>
      </w:r>
    </w:p>
    <w:p w14:paraId="1733D9E7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>Greffe (IV)</w:t>
      </w:r>
    </w:p>
    <w:p w14:paraId="3B3B372E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7E742B">
        <w:rPr>
          <w:b/>
          <w:bCs/>
        </w:rPr>
        <w:t xml:space="preserve">Suivi de greffe : </w:t>
      </w:r>
      <w:r>
        <w:t xml:space="preserve">immunosuppresseur </w:t>
      </w:r>
    </w:p>
    <w:p w14:paraId="69C0A564" w14:textId="77777777" w:rsidR="00DA6E04" w:rsidRDefault="00DA6E04" w:rsidP="00E95696">
      <w:pPr>
        <w:pStyle w:val="Titre2"/>
      </w:pPr>
      <w:r>
        <w:t>Choix du traitement de l’aplasie médullaire :</w:t>
      </w:r>
    </w:p>
    <w:p w14:paraId="1E95EAAF" w14:textId="77777777" w:rsidR="00DA6E04" w:rsidRDefault="00DA6E04" w:rsidP="00E95696">
      <w:pPr>
        <w:pStyle w:val="Paragraphedeliste"/>
        <w:numPr>
          <w:ilvl w:val="0"/>
          <w:numId w:val="1"/>
        </w:numPr>
      </w:pPr>
      <w:r w:rsidRPr="001065BF">
        <w:rPr>
          <w:b/>
          <w:bCs/>
        </w:rPr>
        <w:t>Au cas par cas</w:t>
      </w:r>
      <w:r>
        <w:t xml:space="preserve"> en fonction :</w:t>
      </w:r>
    </w:p>
    <w:p w14:paraId="785910FD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De la cause de l’aplasie </w:t>
      </w:r>
    </w:p>
    <w:p w14:paraId="0BEDBCD0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De la sévérité </w:t>
      </w:r>
    </w:p>
    <w:p w14:paraId="3A7137A0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De l’âge du patient </w:t>
      </w:r>
    </w:p>
    <w:p w14:paraId="246FDA94" w14:textId="77777777" w:rsidR="00DA6E04" w:rsidRDefault="00DA6E04" w:rsidP="00E95696">
      <w:pPr>
        <w:pStyle w:val="Paragraphedeliste"/>
        <w:numPr>
          <w:ilvl w:val="1"/>
          <w:numId w:val="1"/>
        </w:numPr>
      </w:pPr>
      <w:r>
        <w:t xml:space="preserve">D’éventuels traitements antérieurs </w:t>
      </w:r>
    </w:p>
    <w:p w14:paraId="7221375B" w14:textId="77777777" w:rsidR="00DA6E04" w:rsidRDefault="00DA6E04" w:rsidP="00E95696">
      <w:pPr>
        <w:pStyle w:val="Titre2"/>
      </w:pPr>
      <w:r>
        <w:lastRenderedPageBreak/>
        <w:t>Envahissement médullaire :</w:t>
      </w:r>
    </w:p>
    <w:p w14:paraId="7F5584DB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Traitement de l’hémopathie </w:t>
      </w:r>
    </w:p>
    <w:p w14:paraId="0ED6CDDB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PEC du cancer </w:t>
      </w:r>
    </w:p>
    <w:p w14:paraId="61A40D9E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Support transfusionnel (+ hémovigilance) </w:t>
      </w:r>
    </w:p>
    <w:p w14:paraId="6DAB560A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>Culot globulaire</w:t>
      </w:r>
    </w:p>
    <w:p w14:paraId="6110B032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Plaquettes </w:t>
      </w:r>
    </w:p>
    <w:p w14:paraId="58446406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Antibiothérapie </w:t>
      </w:r>
    </w:p>
    <w:p w14:paraId="52BE2FAB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Correction des troubles métaboliques </w:t>
      </w:r>
    </w:p>
    <w:p w14:paraId="653785C4" w14:textId="77777777" w:rsidR="00DA6E04" w:rsidRDefault="00DA6E04" w:rsidP="00E95696">
      <w:pPr>
        <w:pStyle w:val="Titre2"/>
      </w:pPr>
      <w:r>
        <w:t>Myélodysplasie :</w:t>
      </w:r>
    </w:p>
    <w:p w14:paraId="1E139775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Support transfusionnel (+ hémovigilance) </w:t>
      </w:r>
    </w:p>
    <w:p w14:paraId="70A62284" w14:textId="77777777" w:rsidR="00DA6E04" w:rsidRDefault="00DA6E04" w:rsidP="00E95696">
      <w:pPr>
        <w:pStyle w:val="Paragraphedeliste"/>
        <w:numPr>
          <w:ilvl w:val="0"/>
          <w:numId w:val="1"/>
        </w:numPr>
      </w:pPr>
      <w:proofErr w:type="gramStart"/>
      <w:r>
        <w:t>Culots globulaire</w:t>
      </w:r>
      <w:proofErr w:type="gramEnd"/>
      <w:r>
        <w:t xml:space="preserve"> </w:t>
      </w:r>
    </w:p>
    <w:p w14:paraId="308718F1" w14:textId="77777777" w:rsidR="00DA6E04" w:rsidRDefault="00DA6E04" w:rsidP="00E95696">
      <w:pPr>
        <w:pStyle w:val="Paragraphedeliste"/>
        <w:numPr>
          <w:ilvl w:val="0"/>
          <w:numId w:val="1"/>
        </w:numPr>
      </w:pPr>
      <w:r>
        <w:t xml:space="preserve">Plaquettes </w:t>
      </w:r>
    </w:p>
    <w:p w14:paraId="49D49A1C" w14:textId="77777777" w:rsidR="00DA6E04" w:rsidRPr="00161FFA" w:rsidRDefault="00DA6E04" w:rsidP="00E95696">
      <w:pPr>
        <w:pStyle w:val="Paragraphedeliste"/>
        <w:numPr>
          <w:ilvl w:val="0"/>
          <w:numId w:val="1"/>
        </w:numPr>
      </w:pPr>
      <w:r>
        <w:t xml:space="preserve">Surveiller la transformation aiguë éventuelle </w:t>
      </w:r>
    </w:p>
    <w:p w14:paraId="7C2905BA" w14:textId="77777777" w:rsidR="0035775F" w:rsidRDefault="0035775F"/>
    <w:sectPr w:rsidR="0035775F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20AEE" w14:textId="77777777" w:rsidR="0093572B" w:rsidRDefault="0093572B" w:rsidP="00DA6E04">
      <w:pPr>
        <w:spacing w:before="0" w:after="0" w:line="240" w:lineRule="auto"/>
      </w:pPr>
      <w:r>
        <w:separator/>
      </w:r>
    </w:p>
  </w:endnote>
  <w:endnote w:type="continuationSeparator" w:id="0">
    <w:p w14:paraId="740A33E0" w14:textId="77777777" w:rsidR="0093572B" w:rsidRDefault="0093572B" w:rsidP="00DA6E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1285106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28AAABF" w14:textId="77777777" w:rsidR="006832BD" w:rsidRDefault="006832BD" w:rsidP="0039146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75666923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CC50847" w14:textId="77777777" w:rsidR="006832BD" w:rsidRDefault="006832BD" w:rsidP="0039146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DDB49B0" w14:textId="77777777" w:rsidR="00DA6E04" w:rsidRDefault="00DA6E0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4135808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5D82226" w14:textId="77777777" w:rsidR="006832BD" w:rsidRDefault="006832BD" w:rsidP="0039146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0FA2E8A5" w14:textId="77777777" w:rsidR="00DA6E04" w:rsidRDefault="00DA6E0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BAD1B" w14:textId="77777777" w:rsidR="0093572B" w:rsidRDefault="0093572B" w:rsidP="00DA6E04">
      <w:pPr>
        <w:spacing w:before="0" w:after="0" w:line="240" w:lineRule="auto"/>
      </w:pPr>
      <w:r>
        <w:separator/>
      </w:r>
    </w:p>
  </w:footnote>
  <w:footnote w:type="continuationSeparator" w:id="0">
    <w:p w14:paraId="0F60F41A" w14:textId="77777777" w:rsidR="0093572B" w:rsidRDefault="0093572B" w:rsidP="00DA6E0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96EC" w14:textId="77777777" w:rsidR="00DA6E04" w:rsidRDefault="006832BD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0B299E"/>
    <w:multiLevelType w:val="hybridMultilevel"/>
    <w:tmpl w:val="82964A8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04"/>
    <w:rsid w:val="002227D3"/>
    <w:rsid w:val="0035775F"/>
    <w:rsid w:val="005F5B1B"/>
    <w:rsid w:val="00620B83"/>
    <w:rsid w:val="006832BD"/>
    <w:rsid w:val="00911179"/>
    <w:rsid w:val="0093572B"/>
    <w:rsid w:val="009E48A4"/>
    <w:rsid w:val="009F0590"/>
    <w:rsid w:val="00A15F22"/>
    <w:rsid w:val="00B7070B"/>
    <w:rsid w:val="00CC6AF8"/>
    <w:rsid w:val="00DA6E04"/>
    <w:rsid w:val="00E9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B408"/>
  <w15:chartTrackingRefBased/>
  <w15:docId w15:val="{F6BA8AC5-E931-C749-AC98-807D3E83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DA6E0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A6E0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6E04"/>
  </w:style>
  <w:style w:type="paragraph" w:styleId="Pieddepage">
    <w:name w:val="footer"/>
    <w:basedOn w:val="Normal"/>
    <w:link w:val="PieddepageCar"/>
    <w:uiPriority w:val="99"/>
    <w:unhideWhenUsed/>
    <w:rsid w:val="00DA6E0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6E04"/>
  </w:style>
  <w:style w:type="character" w:styleId="Numrodepage">
    <w:name w:val="page number"/>
    <w:basedOn w:val="Policepardfaut"/>
    <w:uiPriority w:val="99"/>
    <w:semiHidden/>
    <w:unhideWhenUsed/>
    <w:rsid w:val="00683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h&#233;matologie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0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3</cp:revision>
  <dcterms:created xsi:type="dcterms:W3CDTF">2025-01-30T18:00:00Z</dcterms:created>
  <dcterms:modified xsi:type="dcterms:W3CDTF">2026-09-12T16:57:00Z</dcterms:modified>
</cp:coreProperties>
</file>