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4E33435">
      <w:pPr>
        <w:pStyle w:val="style1"/>
        <w:rPr/>
      </w:pPr>
      <w:bookmarkStart w:id="0" w:name="_GoBack"/>
      <w:bookmarkEnd w:id="0"/>
      <w:r>
        <w:rPr>
          <w:lang w:val="en-US"/>
        </w:rPr>
        <w:t>algies pelviennes périodiques</w:t>
      </w:r>
    </w:p>
    <w:p>
      <w:pPr>
        <w:pStyle w:val="style0"/>
        <w:rPr/>
      </w:pPr>
      <w:r>
        <w:rPr>
          <w:lang w:val="en-US"/>
        </w:rPr>
        <w:t>pr RANDRIAMBELOMANANA Anderson</w:t>
      </w:r>
    </w:p>
    <w:p>
      <w:pPr>
        <w:pStyle w:val="style2"/>
        <w:rPr/>
      </w:pPr>
      <w:r>
        <w:rPr>
          <w:lang w:val="en-US"/>
        </w:rPr>
        <w:t>objectifs</w:t>
      </w:r>
    </w:p>
    <w:p>
      <w:pPr>
        <w:pStyle w:val="style0"/>
        <w:rPr/>
      </w:pPr>
      <w:r>
        <w:rPr>
          <w:lang w:val="en-US"/>
        </w:rPr>
        <w:t xml:space="preserve">faire le diagnostic </w:t>
      </w:r>
    </w:p>
    <w:p w14:paraId="471C0FCD">
      <w:pPr>
        <w:pStyle w:val="style0"/>
        <w:rPr/>
      </w:pPr>
      <w:r>
        <w:rPr>
          <w:lang w:val="en-US"/>
        </w:rPr>
        <w:t>citer les causes possibles</w:t>
      </w:r>
    </w:p>
    <w:p w14:paraId="31ADCA58">
      <w:pPr>
        <w:pStyle w:val="style0"/>
        <w:rPr/>
      </w:pPr>
      <w:r>
        <w:rPr>
          <w:lang w:val="en-US"/>
        </w:rPr>
        <w:t>éliminer une urgence chirurgicale</w:t>
      </w:r>
    </w:p>
    <w:p w14:paraId="0C3EE121">
      <w:pPr>
        <w:pStyle w:val="style0"/>
        <w:rPr/>
      </w:pPr>
      <w:r>
        <w:rPr>
          <w:lang w:val="en-US"/>
        </w:rPr>
        <w:t>traiter et conseiller la patiente</w:t>
      </w:r>
    </w:p>
    <w:p>
      <w:pPr>
        <w:pStyle w:val="style2"/>
        <w:rPr/>
      </w:pPr>
      <w:r>
        <w:rPr>
          <w:lang w:val="en-US"/>
        </w:rPr>
        <w:t>introduction</w:t>
      </w:r>
    </w:p>
    <w:p w14:paraId="B79E040D">
      <w:pPr>
        <w:pStyle w:val="style179"/>
        <w:numPr>
          <w:ilvl w:val="0"/>
          <w:numId w:val="12"/>
        </w:numPr>
        <w:rPr/>
      </w:pPr>
      <w:r>
        <w:rPr>
          <w:lang w:val="en-US"/>
        </w:rPr>
        <w:t>définition:</w:t>
        <w:tab/>
      </w:r>
    </w:p>
    <w:p w14:paraId="2006415D">
      <w:pPr>
        <w:pStyle w:val="style179"/>
        <w:numPr>
          <w:ilvl w:val="1"/>
          <w:numId w:val="12"/>
        </w:numPr>
        <w:rPr/>
      </w:pPr>
      <w:r>
        <w:rPr>
          <w:lang w:val="en-US"/>
        </w:rPr>
        <w:t>ensemble de symptome y compris la douleur pelvienne survenuant de façon cyclique par rapport aux mesntruations</w:t>
      </w:r>
    </w:p>
    <w:p w14:paraId="5ED3A69D">
      <w:pPr>
        <w:pStyle w:val="style179"/>
        <w:numPr>
          <w:ilvl w:val="0"/>
          <w:numId w:val="12"/>
        </w:numPr>
        <w:rPr/>
      </w:pPr>
      <w:r>
        <w:rPr>
          <w:lang w:val="en-US"/>
        </w:rPr>
        <w:t>interets</w:t>
      </w:r>
    </w:p>
    <w:p w14:paraId="D9D57566">
      <w:pPr>
        <w:pStyle w:val="style179"/>
        <w:numPr>
          <w:ilvl w:val="1"/>
          <w:numId w:val="12"/>
        </w:numPr>
        <w:rPr/>
      </w:pPr>
      <w:r>
        <w:rPr>
          <w:lang w:val="en-US"/>
        </w:rPr>
        <w:t>motif de consultation fréquentes en gynécologie</w:t>
      </w:r>
    </w:p>
    <w:p>
      <w:pPr>
        <w:pStyle w:val="style2"/>
        <w:rPr/>
      </w:pPr>
      <w:r>
        <w:rPr>
          <w:lang w:val="en-US"/>
        </w:rPr>
        <w:t>diagnostic positif</w:t>
      </w:r>
    </w:p>
    <w:p>
      <w:pPr>
        <w:pStyle w:val="style3"/>
        <w:rPr/>
      </w:pPr>
      <w:r>
        <w:rPr>
          <w:lang w:val="en-US"/>
        </w:rPr>
        <w:t>interrogatoire</w:t>
      </w:r>
    </w:p>
    <w:p w14:paraId="7DC15B25">
      <w:pPr>
        <w:pStyle w:val="style179"/>
        <w:numPr>
          <w:ilvl w:val="0"/>
          <w:numId w:val="13"/>
        </w:numPr>
        <w:rPr/>
      </w:pPr>
      <w:r>
        <w:rPr>
          <w:lang w:val="en-US"/>
        </w:rPr>
        <w:t>informations personnelles</w:t>
      </w:r>
    </w:p>
    <w:p w14:paraId="5393CC3C">
      <w:pPr>
        <w:pStyle w:val="style179"/>
        <w:numPr>
          <w:ilvl w:val="1"/>
          <w:numId w:val="13"/>
        </w:numPr>
        <w:rPr/>
      </w:pPr>
      <w:r>
        <w:rPr>
          <w:lang w:val="en-US"/>
        </w:rPr>
        <w:t>etat civil : age</w:t>
      </w:r>
    </w:p>
    <w:p w14:paraId="C061902C">
      <w:pPr>
        <w:pStyle w:val="style179"/>
        <w:numPr>
          <w:ilvl w:val="1"/>
          <w:numId w:val="13"/>
        </w:numPr>
        <w:rPr/>
      </w:pPr>
      <w:r>
        <w:rPr>
          <w:lang w:val="en-US"/>
        </w:rPr>
        <w:t>date de dernière règle</w:t>
      </w:r>
    </w:p>
    <w:p w14:paraId="80EC268A">
      <w:pPr>
        <w:pStyle w:val="style179"/>
        <w:numPr>
          <w:ilvl w:val="1"/>
          <w:numId w:val="13"/>
        </w:numPr>
        <w:rPr/>
      </w:pPr>
      <w:r>
        <w:rPr>
          <w:lang w:val="en-US"/>
        </w:rPr>
        <w:t>contraception</w:t>
      </w:r>
    </w:p>
    <w:p w14:paraId="4FC8CDC9">
      <w:pPr>
        <w:pStyle w:val="style179"/>
        <w:numPr>
          <w:ilvl w:val="1"/>
          <w:numId w:val="13"/>
        </w:numPr>
        <w:rPr/>
      </w:pPr>
      <w:r>
        <w:rPr>
          <w:lang w:val="en-US"/>
        </w:rPr>
        <w:t>profil psychologique, contexte socio-familial et professionnel</w:t>
      </w:r>
    </w:p>
    <w:p w14:paraId="D2F5E89C">
      <w:pPr>
        <w:pStyle w:val="style179"/>
        <w:numPr>
          <w:ilvl w:val="1"/>
          <w:numId w:val="13"/>
        </w:numPr>
        <w:rPr/>
      </w:pPr>
      <w:r>
        <w:rPr>
          <w:lang w:val="en-US"/>
        </w:rPr>
        <w:t>*** Eliminer la grossesse avant tout ***</w:t>
      </w:r>
    </w:p>
    <w:p w14:paraId="F4563751">
      <w:pPr>
        <w:pStyle w:val="style179"/>
        <w:numPr>
          <w:ilvl w:val="0"/>
          <w:numId w:val="13"/>
        </w:numPr>
        <w:rPr/>
      </w:pPr>
      <w:r>
        <w:rPr>
          <w:lang w:val="en-US"/>
        </w:rPr>
        <w:t>caractéristique de la douleur</w:t>
      </w:r>
    </w:p>
    <w:p w14:paraId="FB2B6858">
      <w:pPr>
        <w:pStyle w:val="style179"/>
        <w:numPr>
          <w:ilvl w:val="1"/>
          <w:numId w:val="13"/>
        </w:numPr>
        <w:rPr/>
      </w:pPr>
      <w:r>
        <w:rPr>
          <w:lang w:val="en-US"/>
        </w:rPr>
        <w:t>circonstance de début : puberté, accouchement, traitement hormonale...</w:t>
      </w:r>
    </w:p>
    <w:p w14:paraId="B9B025FB">
      <w:pPr>
        <w:pStyle w:val="style179"/>
        <w:numPr>
          <w:ilvl w:val="1"/>
          <w:numId w:val="13"/>
        </w:numPr>
        <w:rPr/>
      </w:pPr>
      <w:r>
        <w:rPr>
          <w:lang w:val="en-US"/>
        </w:rPr>
        <w:t>rythmacité par rapport aux cycles</w:t>
      </w:r>
    </w:p>
    <w:p w14:paraId="F946BE33">
      <w:pPr>
        <w:pStyle w:val="style179"/>
        <w:numPr>
          <w:ilvl w:val="2"/>
          <w:numId w:val="13"/>
        </w:numPr>
        <w:rPr/>
      </w:pPr>
      <w:r>
        <w:rPr>
          <w:lang w:val="en-US"/>
        </w:rPr>
        <w:t>au milieu : sd inter-menstruel</w:t>
      </w:r>
    </w:p>
    <w:p w14:paraId="997DFE50">
      <w:pPr>
        <w:pStyle w:val="style179"/>
        <w:numPr>
          <w:ilvl w:val="2"/>
          <w:numId w:val="13"/>
        </w:numPr>
        <w:rPr/>
      </w:pPr>
      <w:r>
        <w:rPr>
          <w:lang w:val="en-US"/>
        </w:rPr>
        <w:t>avant les règles : sd prémenstruel</w:t>
      </w:r>
    </w:p>
    <w:p w14:paraId="8D74EE9F">
      <w:pPr>
        <w:pStyle w:val="style179"/>
        <w:numPr>
          <w:ilvl w:val="2"/>
          <w:numId w:val="13"/>
        </w:numPr>
        <w:rPr/>
      </w:pPr>
      <w:r>
        <w:rPr>
          <w:lang w:val="en-US"/>
        </w:rPr>
        <w:t>pendant les règles : dysménorrhée</w:t>
      </w:r>
    </w:p>
    <w:p w14:paraId="FE6A901D">
      <w:pPr>
        <w:pStyle w:val="style179"/>
        <w:numPr>
          <w:ilvl w:val="1"/>
          <w:numId w:val="13"/>
        </w:numPr>
        <w:rPr/>
      </w:pPr>
      <w:r>
        <w:rPr>
          <w:lang w:val="en-US"/>
        </w:rPr>
        <w:t>intensité : variable</w:t>
      </w:r>
    </w:p>
    <w:p w14:paraId="1585A91C">
      <w:pPr>
        <w:pStyle w:val="style179"/>
        <w:numPr>
          <w:ilvl w:val="1"/>
          <w:numId w:val="13"/>
        </w:numPr>
        <w:rPr/>
      </w:pPr>
      <w:r>
        <w:rPr>
          <w:lang w:val="en-US"/>
        </w:rPr>
        <w:t>type : tiraillement , pesenteur, déchirure profonde, coup de poignard</w:t>
      </w:r>
    </w:p>
    <w:p w14:paraId="7E5CE1ED">
      <w:pPr>
        <w:pStyle w:val="style179"/>
        <w:numPr>
          <w:ilvl w:val="1"/>
          <w:numId w:val="13"/>
        </w:numPr>
        <w:rPr/>
      </w:pPr>
      <w:r>
        <w:rPr>
          <w:lang w:val="en-US"/>
        </w:rPr>
        <w:t>topographie : siège et irradiation</w:t>
      </w:r>
    </w:p>
    <w:p w14:paraId="2951EBE4">
      <w:pPr>
        <w:pStyle w:val="style179"/>
        <w:numPr>
          <w:ilvl w:val="1"/>
          <w:numId w:val="13"/>
        </w:numPr>
        <w:rPr/>
      </w:pPr>
      <w:r>
        <w:rPr>
          <w:lang w:val="en-US"/>
        </w:rPr>
        <w:t xml:space="preserve">signes accompagnateurs : météorisme, congestion mammaires, trouble de sommeil </w:t>
      </w:r>
    </w:p>
    <w:p w14:paraId="1ECF8320">
      <w:pPr>
        <w:pStyle w:val="style179"/>
        <w:numPr>
          <w:ilvl w:val="0"/>
          <w:numId w:val="13"/>
        </w:numPr>
        <w:rPr/>
      </w:pPr>
      <w:r>
        <w:rPr>
          <w:lang w:val="en-US"/>
        </w:rPr>
        <w:t>facteurs déclenchant</w:t>
      </w:r>
    </w:p>
    <w:p w14:paraId="1B386209">
      <w:pPr>
        <w:pStyle w:val="style179"/>
        <w:numPr>
          <w:ilvl w:val="1"/>
          <w:numId w:val="13"/>
        </w:numPr>
        <w:rPr/>
      </w:pPr>
      <w:r>
        <w:rPr>
          <w:lang w:val="en-US"/>
        </w:rPr>
        <w:t>efforts, station débout</w:t>
      </w:r>
    </w:p>
    <w:p w14:paraId="16276D12">
      <w:pPr>
        <w:pStyle w:val="style179"/>
        <w:numPr>
          <w:ilvl w:val="1"/>
          <w:numId w:val="13"/>
        </w:numPr>
        <w:rPr/>
      </w:pPr>
      <w:r>
        <w:rPr>
          <w:lang w:val="en-US"/>
        </w:rPr>
        <w:t>rapports sexuels , examen gynécologique</w:t>
      </w:r>
    </w:p>
    <w:p w14:paraId="379BBA81">
      <w:pPr>
        <w:pStyle w:val="style179"/>
        <w:numPr>
          <w:ilvl w:val="1"/>
          <w:numId w:val="13"/>
        </w:numPr>
        <w:rPr/>
      </w:pPr>
      <w:r>
        <w:rPr>
          <w:lang w:val="en-US"/>
        </w:rPr>
        <w:t>post-partum</w:t>
      </w:r>
    </w:p>
    <w:p w14:paraId="26E9C1B1">
      <w:pPr>
        <w:pStyle w:val="style179"/>
        <w:numPr>
          <w:ilvl w:val="1"/>
          <w:numId w:val="13"/>
        </w:numPr>
        <w:rPr/>
      </w:pPr>
      <w:r>
        <w:rPr>
          <w:lang w:val="en-US"/>
        </w:rPr>
        <w:t>post chirurgicale: curétage , laparotomie, coelioscopie</w:t>
      </w:r>
    </w:p>
    <w:p w14:paraId="51341FE9">
      <w:pPr>
        <w:pStyle w:val="style179"/>
        <w:numPr>
          <w:ilvl w:val="0"/>
          <w:numId w:val="13"/>
        </w:numPr>
        <w:rPr/>
      </w:pPr>
      <w:r>
        <w:rPr>
          <w:lang w:val="en-US"/>
        </w:rPr>
        <w:t>signes associés</w:t>
      </w:r>
    </w:p>
    <w:p w14:paraId="B18B2717">
      <w:pPr>
        <w:pStyle w:val="style179"/>
        <w:numPr>
          <w:ilvl w:val="1"/>
          <w:numId w:val="13"/>
        </w:numPr>
        <w:rPr/>
      </w:pPr>
      <w:r>
        <w:rPr>
          <w:lang w:val="en-US"/>
        </w:rPr>
        <w:t>gynécologique : leucorrhée, métrorragie, dyspareunie , trouble sexuels</w:t>
      </w:r>
    </w:p>
    <w:p w14:paraId="6678D16F">
      <w:pPr>
        <w:pStyle w:val="style179"/>
        <w:numPr>
          <w:ilvl w:val="1"/>
          <w:numId w:val="13"/>
        </w:numPr>
        <w:rPr/>
      </w:pPr>
      <w:r>
        <w:rPr>
          <w:lang w:val="en-US"/>
        </w:rPr>
        <w:t>urinaire: dysurie, brulure mictionnelle</w:t>
      </w:r>
    </w:p>
    <w:p w14:paraId="463992AD">
      <w:pPr>
        <w:pStyle w:val="style179"/>
        <w:numPr>
          <w:ilvl w:val="1"/>
          <w:numId w:val="13"/>
        </w:numPr>
        <w:rPr/>
      </w:pPr>
      <w:r>
        <w:rPr>
          <w:lang w:val="en-US"/>
        </w:rPr>
        <w:t xml:space="preserve">digestifs : nausée - vomissment , arrte de matières et des gaz </w:t>
      </w:r>
    </w:p>
    <w:p w14:paraId="913F3631">
      <w:pPr>
        <w:pStyle w:val="style179"/>
        <w:numPr>
          <w:ilvl w:val="0"/>
          <w:numId w:val="13"/>
        </w:numPr>
        <w:rPr/>
      </w:pPr>
      <w:r>
        <w:rPr>
          <w:lang w:val="en-US"/>
        </w:rPr>
        <w:t>antécédents</w:t>
      </w:r>
    </w:p>
    <w:p w14:paraId="7ABC2CAC">
      <w:pPr>
        <w:pStyle w:val="style179"/>
        <w:numPr>
          <w:ilvl w:val="1"/>
          <w:numId w:val="13"/>
        </w:numPr>
        <w:rPr/>
      </w:pPr>
      <w:r>
        <w:rPr>
          <w:lang w:val="en-US"/>
        </w:rPr>
        <w:t>familiaux : pathologie digestive, cancers familiaux ,histoire gynécologique</w:t>
      </w:r>
    </w:p>
    <w:p w14:paraId="E7EFE4A4">
      <w:pPr>
        <w:pStyle w:val="style179"/>
        <w:numPr>
          <w:ilvl w:val="1"/>
          <w:numId w:val="13"/>
        </w:numPr>
        <w:rPr/>
      </w:pPr>
      <w:r>
        <w:rPr>
          <w:lang w:val="en-US"/>
        </w:rPr>
        <w:t>personnels</w:t>
      </w:r>
    </w:p>
    <w:p w14:paraId="9ADF5DBA">
      <w:pPr>
        <w:pStyle w:val="style179"/>
        <w:numPr>
          <w:ilvl w:val="2"/>
          <w:numId w:val="13"/>
        </w:numPr>
        <w:rPr/>
      </w:pPr>
      <w:r>
        <w:rPr>
          <w:lang w:val="en-US"/>
        </w:rPr>
        <w:t xml:space="preserve">médicaux , toxique, chirurgicaux, gynécologique, obstétriques </w:t>
      </w:r>
    </w:p>
    <w:p>
      <w:pPr>
        <w:pStyle w:val="style3"/>
        <w:rPr/>
      </w:pPr>
      <w:r>
        <w:rPr>
          <w:lang w:val="en-US"/>
        </w:rPr>
        <w:t>cliniques</w:t>
      </w:r>
    </w:p>
    <w:p w14:paraId="C8137F1D">
      <w:pPr>
        <w:pStyle w:val="style179"/>
        <w:numPr>
          <w:ilvl w:val="0"/>
          <w:numId w:val="14"/>
        </w:numPr>
        <w:rPr/>
      </w:pPr>
      <w:r>
        <w:rPr>
          <w:lang w:val="en-US"/>
        </w:rPr>
        <w:t>signes généraux</w:t>
      </w:r>
    </w:p>
    <w:p w14:paraId="52D4D9FF">
      <w:pPr>
        <w:pStyle w:val="style179"/>
        <w:numPr>
          <w:ilvl w:val="1"/>
          <w:numId w:val="14"/>
        </w:numPr>
        <w:rPr/>
      </w:pPr>
      <w:r>
        <w:rPr>
          <w:lang w:val="en-US"/>
        </w:rPr>
        <w:t>état général : conservé ou altéré</w:t>
      </w:r>
    </w:p>
    <w:p w14:paraId="EFD954BD">
      <w:pPr>
        <w:pStyle w:val="style179"/>
        <w:numPr>
          <w:ilvl w:val="1"/>
          <w:numId w:val="14"/>
        </w:numPr>
        <w:rPr/>
      </w:pPr>
      <w:r>
        <w:rPr>
          <w:lang w:val="en-US"/>
        </w:rPr>
        <w:t>nive de conscience</w:t>
      </w:r>
    </w:p>
    <w:p w14:paraId="64085A3E">
      <w:pPr>
        <w:pStyle w:val="style179"/>
        <w:numPr>
          <w:ilvl w:val="1"/>
          <w:numId w:val="14"/>
        </w:numPr>
        <w:rPr/>
      </w:pPr>
      <w:r>
        <w:rPr>
          <w:lang w:val="en-US"/>
        </w:rPr>
        <w:t>température , recher d'une cause infectieuse</w:t>
      </w:r>
    </w:p>
    <w:p w14:paraId="57094073">
      <w:pPr>
        <w:pStyle w:val="style179"/>
        <w:numPr>
          <w:ilvl w:val="1"/>
          <w:numId w:val="14"/>
        </w:numPr>
        <w:rPr/>
      </w:pPr>
      <w:r>
        <w:rPr>
          <w:lang w:val="en-US"/>
        </w:rPr>
        <w:t>paramètre vitaux : état de choc, urgence chirurgicale</w:t>
      </w:r>
    </w:p>
    <w:p w14:paraId="E1E5908D">
      <w:pPr>
        <w:pStyle w:val="style179"/>
        <w:numPr>
          <w:ilvl w:val="0"/>
          <w:numId w:val="14"/>
        </w:numPr>
        <w:rPr/>
      </w:pPr>
      <w:r>
        <w:rPr>
          <w:lang w:val="en-US"/>
        </w:rPr>
        <w:t>examen physique</w:t>
      </w:r>
    </w:p>
    <w:p w14:paraId="1AA48419">
      <w:pPr>
        <w:pStyle w:val="style179"/>
        <w:numPr>
          <w:ilvl w:val="1"/>
          <w:numId w:val="14"/>
        </w:numPr>
        <w:rPr/>
      </w:pPr>
      <w:r>
        <w:rPr>
          <w:lang w:val="en-US"/>
        </w:rPr>
        <w:t xml:space="preserve">inspection de l'abdomen : </w:t>
        <w:tab/>
      </w:r>
    </w:p>
    <w:p w14:paraId="0B97FCEF">
      <w:pPr>
        <w:pStyle w:val="style179"/>
        <w:numPr>
          <w:ilvl w:val="2"/>
          <w:numId w:val="14"/>
        </w:numPr>
        <w:rPr/>
      </w:pPr>
      <w:r>
        <w:rPr>
          <w:lang w:val="en-US"/>
        </w:rPr>
        <w:t xml:space="preserve">ballonnement </w:t>
      </w:r>
    </w:p>
    <w:p w14:paraId="D312DEF7">
      <w:pPr>
        <w:pStyle w:val="style179"/>
        <w:numPr>
          <w:ilvl w:val="2"/>
          <w:numId w:val="14"/>
        </w:numPr>
        <w:rPr/>
      </w:pPr>
      <w:r>
        <w:rPr>
          <w:lang w:val="en-US"/>
        </w:rPr>
        <w:t>cicatrice de laparotomie</w:t>
      </w:r>
    </w:p>
    <w:p w14:paraId="54345F9C">
      <w:pPr>
        <w:pStyle w:val="style179"/>
        <w:numPr>
          <w:ilvl w:val="1"/>
          <w:numId w:val="14"/>
        </w:numPr>
        <w:rPr/>
      </w:pPr>
      <w:r>
        <w:rPr>
          <w:lang w:val="en-US"/>
        </w:rPr>
        <w:t xml:space="preserve">palpation </w:t>
      </w:r>
    </w:p>
    <w:p w14:paraId="3703A65C">
      <w:pPr>
        <w:pStyle w:val="style179"/>
        <w:numPr>
          <w:ilvl w:val="2"/>
          <w:numId w:val="14"/>
        </w:numPr>
        <w:rPr/>
      </w:pPr>
      <w:r>
        <w:rPr>
          <w:lang w:val="en-US"/>
        </w:rPr>
        <w:t>douleur provoquée</w:t>
      </w:r>
    </w:p>
    <w:p w14:paraId="615DF9E0">
      <w:pPr>
        <w:pStyle w:val="style179"/>
        <w:numPr>
          <w:ilvl w:val="2"/>
          <w:numId w:val="14"/>
        </w:numPr>
        <w:rPr/>
      </w:pPr>
      <w:r>
        <w:rPr>
          <w:lang w:val="en-US"/>
        </w:rPr>
        <w:t>sièges de la douleur HCD : signe de Murphy (foie, vésicule biliaire, peri hépatique , cadre colique) FID : appendicite</w:t>
      </w:r>
    </w:p>
    <w:p w14:paraId="1B3CD9FF">
      <w:pPr>
        <w:pStyle w:val="style179"/>
        <w:numPr>
          <w:ilvl w:val="2"/>
          <w:numId w:val="14"/>
        </w:numPr>
        <w:rPr/>
      </w:pPr>
      <w:r>
        <w:rPr>
          <w:lang w:val="en-US"/>
        </w:rPr>
        <w:t>palaption des fosses lombaire</w:t>
      </w:r>
    </w:p>
    <w:p w14:paraId="9E455095">
      <w:pPr>
        <w:pStyle w:val="style179"/>
        <w:numPr>
          <w:ilvl w:val="1"/>
          <w:numId w:val="14"/>
        </w:numPr>
        <w:rPr/>
      </w:pPr>
      <w:r>
        <w:rPr>
          <w:lang w:val="en-US"/>
        </w:rPr>
        <w:t xml:space="preserve">percussion : météorisme </w:t>
      </w:r>
    </w:p>
    <w:p w14:paraId="655766A1">
      <w:pPr>
        <w:pStyle w:val="style179"/>
        <w:numPr>
          <w:ilvl w:val="0"/>
          <w:numId w:val="14"/>
        </w:numPr>
        <w:rPr/>
      </w:pPr>
      <w:r>
        <w:rPr>
          <w:lang w:val="en-US"/>
        </w:rPr>
        <w:t>examen gynécologique</w:t>
      </w:r>
    </w:p>
    <w:p w14:paraId="FD27A816">
      <w:pPr>
        <w:pStyle w:val="style179"/>
        <w:numPr>
          <w:ilvl w:val="1"/>
          <w:numId w:val="14"/>
        </w:numPr>
        <w:rPr/>
      </w:pPr>
      <w:r>
        <w:rPr>
          <w:lang w:val="en-US"/>
        </w:rPr>
        <w:t>appareil génital externe</w:t>
      </w:r>
    </w:p>
    <w:p w14:paraId="DFDAD166">
      <w:pPr>
        <w:pStyle w:val="style179"/>
        <w:numPr>
          <w:ilvl w:val="1"/>
          <w:numId w:val="14"/>
        </w:numPr>
        <w:rPr/>
      </w:pPr>
      <w:r>
        <w:rPr>
          <w:lang w:val="en-US"/>
        </w:rPr>
        <w:t>spéculum</w:t>
      </w:r>
    </w:p>
    <w:p w14:paraId="873D8CDE">
      <w:pPr>
        <w:pStyle w:val="style179"/>
        <w:numPr>
          <w:ilvl w:val="2"/>
          <w:numId w:val="14"/>
        </w:numPr>
        <w:rPr/>
      </w:pPr>
      <w:r>
        <w:rPr>
          <w:lang w:val="en-US"/>
        </w:rPr>
        <w:t>état du col: inflammatoire ou tumorale</w:t>
      </w:r>
    </w:p>
    <w:p w14:paraId="DCCA6FC3">
      <w:pPr>
        <w:pStyle w:val="style179"/>
        <w:numPr>
          <w:ilvl w:val="2"/>
          <w:numId w:val="14"/>
        </w:numPr>
        <w:rPr/>
      </w:pPr>
      <w:r>
        <w:rPr>
          <w:lang w:val="en-US"/>
        </w:rPr>
        <w:t>état de la muqueuse vaginale</w:t>
      </w:r>
    </w:p>
    <w:p w14:paraId="8F1EEBD2">
      <w:pPr>
        <w:pStyle w:val="style179"/>
        <w:numPr>
          <w:ilvl w:val="2"/>
          <w:numId w:val="14"/>
        </w:numPr>
        <w:rPr/>
      </w:pPr>
      <w:r>
        <w:rPr>
          <w:lang w:val="en-US"/>
        </w:rPr>
        <w:t>écoulement : leucorrhés ou glaire cervicale</w:t>
      </w:r>
    </w:p>
    <w:p w14:paraId="72E1CA05">
      <w:pPr>
        <w:pStyle w:val="style179"/>
        <w:numPr>
          <w:ilvl w:val="1"/>
          <w:numId w:val="14"/>
        </w:numPr>
        <w:rPr/>
      </w:pPr>
      <w:r>
        <w:rPr>
          <w:lang w:val="en-US"/>
        </w:rPr>
        <w:t>profiter de cet examen pour réaliser les prélèvements</w:t>
      </w:r>
    </w:p>
    <w:p w14:paraId="F859DBCD">
      <w:pPr>
        <w:pStyle w:val="style179"/>
        <w:numPr>
          <w:ilvl w:val="2"/>
          <w:numId w:val="14"/>
        </w:numPr>
        <w:rPr/>
      </w:pPr>
      <w:r>
        <w:rPr>
          <w:lang w:val="en-US"/>
        </w:rPr>
        <w:t xml:space="preserve">bactériologique </w:t>
      </w:r>
    </w:p>
    <w:p w14:paraId="B75B7A5C">
      <w:pPr>
        <w:pStyle w:val="style179"/>
        <w:numPr>
          <w:ilvl w:val="2"/>
          <w:numId w:val="14"/>
        </w:numPr>
        <w:rPr/>
      </w:pPr>
      <w:r>
        <w:rPr>
          <w:lang w:val="en-US"/>
        </w:rPr>
        <w:t xml:space="preserve">cytologique </w:t>
      </w:r>
    </w:p>
    <w:p w14:paraId="CCD6C50B">
      <w:pPr>
        <w:pStyle w:val="style179"/>
        <w:numPr>
          <w:ilvl w:val="1"/>
          <w:numId w:val="14"/>
        </w:numPr>
        <w:rPr/>
      </w:pPr>
      <w:r>
        <w:rPr>
          <w:lang w:val="en-US"/>
        </w:rPr>
        <w:t xml:space="preserve">toucher vaginal </w:t>
      </w:r>
    </w:p>
    <w:p w14:paraId="CF846074">
      <w:pPr>
        <w:pStyle w:val="style179"/>
        <w:numPr>
          <w:ilvl w:val="2"/>
          <w:numId w:val="14"/>
        </w:numPr>
        <w:rPr/>
      </w:pPr>
      <w:r>
        <w:rPr>
          <w:lang w:val="en-US"/>
        </w:rPr>
        <w:t>col : taille et position</w:t>
      </w:r>
    </w:p>
    <w:p w14:paraId="DD1831B9">
      <w:pPr>
        <w:pStyle w:val="style179"/>
        <w:numPr>
          <w:ilvl w:val="2"/>
          <w:numId w:val="14"/>
        </w:numPr>
        <w:rPr/>
      </w:pPr>
      <w:r>
        <w:rPr>
          <w:lang w:val="en-US"/>
        </w:rPr>
        <w:t>utérus : taille , orientation , mobilité : douleur à la mobilasation (inflammation de ligament large) ; infammation des paramètres</w:t>
      </w:r>
    </w:p>
    <w:p w14:paraId="4C518170">
      <w:pPr>
        <w:pStyle w:val="style179"/>
        <w:numPr>
          <w:ilvl w:val="2"/>
          <w:numId w:val="14"/>
        </w:numPr>
        <w:rPr/>
      </w:pPr>
      <w:r>
        <w:rPr>
          <w:lang w:val="en-US"/>
        </w:rPr>
        <w:t>rechercher de masse latéro-utérine</w:t>
      </w:r>
    </w:p>
    <w:p w14:paraId="D901A79E">
      <w:pPr>
        <w:pStyle w:val="style179"/>
        <w:numPr>
          <w:ilvl w:val="2"/>
          <w:numId w:val="14"/>
        </w:numPr>
        <w:rPr/>
      </w:pPr>
      <w:r>
        <w:rPr>
          <w:lang w:val="en-US"/>
        </w:rPr>
        <w:t>culs de sacs cervico-vaginaux : empatement, comblment, douleur, existence de nodosités</w:t>
      </w:r>
    </w:p>
    <w:p w14:paraId="98B1A8C2">
      <w:pPr>
        <w:pStyle w:val="style179"/>
        <w:numPr>
          <w:ilvl w:val="1"/>
          <w:numId w:val="14"/>
        </w:numPr>
        <w:rPr/>
      </w:pPr>
      <w:r>
        <w:rPr>
          <w:lang w:val="en-US"/>
        </w:rPr>
        <w:t xml:space="preserve">toucher rectal : endométriose </w:t>
      </w:r>
    </w:p>
    <w:p w14:paraId="FB877536">
      <w:pPr>
        <w:pStyle w:val="style179"/>
        <w:numPr>
          <w:ilvl w:val="0"/>
          <w:numId w:val="14"/>
        </w:numPr>
        <w:rPr/>
      </w:pPr>
      <w:r>
        <w:rPr>
          <w:lang w:val="en-US"/>
        </w:rPr>
        <w:t>examen des autres appareils</w:t>
      </w:r>
    </w:p>
    <w:p w14:paraId="BEC88F29">
      <w:pPr>
        <w:pStyle w:val="style179"/>
        <w:numPr>
          <w:ilvl w:val="1"/>
          <w:numId w:val="14"/>
        </w:numPr>
        <w:rPr/>
      </w:pPr>
      <w:r>
        <w:rPr>
          <w:lang w:val="en-US"/>
        </w:rPr>
        <w:t>app urinaire</w:t>
      </w:r>
    </w:p>
    <w:p w14:paraId="C63AC3EA">
      <w:pPr>
        <w:pStyle w:val="style179"/>
        <w:numPr>
          <w:ilvl w:val="1"/>
          <w:numId w:val="14"/>
        </w:numPr>
        <w:rPr/>
      </w:pPr>
      <w:r>
        <w:rPr>
          <w:lang w:val="en-US"/>
        </w:rPr>
        <w:t>app digestif</w:t>
      </w:r>
    </w:p>
    <w:p w14:paraId="65DD3F2D">
      <w:pPr>
        <w:pStyle w:val="style179"/>
        <w:numPr>
          <w:ilvl w:val="1"/>
          <w:numId w:val="14"/>
        </w:numPr>
        <w:rPr/>
      </w:pPr>
      <w:r>
        <w:rPr>
          <w:lang w:val="en-US"/>
        </w:rPr>
        <w:t>app locomoteur</w:t>
      </w:r>
    </w:p>
    <w:p w14:paraId="D49B3EE8">
      <w:pPr>
        <w:pStyle w:val="style179"/>
        <w:numPr>
          <w:ilvl w:val="1"/>
          <w:numId w:val="14"/>
        </w:numPr>
        <w:rPr/>
      </w:pPr>
      <w:r>
        <w:rPr>
          <w:lang w:val="en-US"/>
        </w:rPr>
        <w:t>conflit psychique ...</w:t>
      </w:r>
    </w:p>
    <w:p>
      <w:pPr>
        <w:pStyle w:val="style3"/>
        <w:rPr/>
      </w:pPr>
      <w:r>
        <w:rPr>
          <w:lang w:val="en-US"/>
        </w:rPr>
        <w:t>paraclinique</w:t>
      </w:r>
    </w:p>
    <w:p w14:paraId="721C9704">
      <w:pPr>
        <w:pStyle w:val="style179"/>
        <w:numPr>
          <w:ilvl w:val="0"/>
          <w:numId w:val="15"/>
        </w:numPr>
        <w:rPr/>
      </w:pPr>
      <w:r>
        <w:rPr>
          <w:lang w:val="en-US"/>
        </w:rPr>
        <w:t>Biologie</w:t>
      </w:r>
    </w:p>
    <w:p w14:paraId="3B56F2FC">
      <w:pPr>
        <w:pStyle w:val="style179"/>
        <w:numPr>
          <w:ilvl w:val="1"/>
          <w:numId w:val="15"/>
        </w:numPr>
        <w:rPr/>
      </w:pPr>
      <w:r>
        <w:rPr>
          <w:lang w:val="en-US"/>
        </w:rPr>
        <w:t xml:space="preserve">NFS plaquete </w:t>
      </w:r>
    </w:p>
    <w:p w14:paraId="3467ADD4">
      <w:pPr>
        <w:pStyle w:val="style179"/>
        <w:numPr>
          <w:ilvl w:val="2"/>
          <w:numId w:val="15"/>
        </w:numPr>
        <w:rPr/>
      </w:pPr>
      <w:r>
        <w:rPr>
          <w:lang w:val="en-US"/>
        </w:rPr>
        <w:t>anémie</w:t>
      </w:r>
    </w:p>
    <w:p w14:paraId="EDEF85CE">
      <w:pPr>
        <w:pStyle w:val="style179"/>
        <w:numPr>
          <w:ilvl w:val="2"/>
          <w:numId w:val="15"/>
        </w:numPr>
        <w:rPr/>
      </w:pPr>
      <w:r>
        <w:rPr>
          <w:lang w:val="en-US"/>
        </w:rPr>
        <w:t>hyperleucocytose</w:t>
      </w:r>
    </w:p>
    <w:p w14:paraId="9DC946E7">
      <w:pPr>
        <w:pStyle w:val="style179"/>
        <w:numPr>
          <w:ilvl w:val="1"/>
          <w:numId w:val="15"/>
        </w:numPr>
        <w:rPr/>
      </w:pPr>
      <w:r>
        <w:rPr>
          <w:lang w:val="en-US"/>
        </w:rPr>
        <w:t>CRP</w:t>
      </w:r>
    </w:p>
    <w:p w14:paraId="56F22E45">
      <w:pPr>
        <w:pStyle w:val="style179"/>
        <w:numPr>
          <w:ilvl w:val="1"/>
          <w:numId w:val="15"/>
        </w:numPr>
        <w:rPr/>
      </w:pPr>
      <w:r>
        <w:rPr>
          <w:lang w:val="en-US"/>
        </w:rPr>
        <w:t>B-hCG plasmatique : distinction GIU, GEU , FCS ?</w:t>
      </w:r>
    </w:p>
    <w:p w14:paraId="4F8382FE">
      <w:pPr>
        <w:pStyle w:val="style179"/>
        <w:numPr>
          <w:ilvl w:val="1"/>
          <w:numId w:val="15"/>
        </w:numPr>
        <w:rPr/>
      </w:pPr>
      <w:r>
        <w:rPr>
          <w:lang w:val="en-US"/>
        </w:rPr>
        <w:t>Prélèvement cervico-vaginale : examen bactério ave rechercher de Chlamydia</w:t>
      </w:r>
    </w:p>
    <w:p w14:paraId="DF77D007">
      <w:pPr>
        <w:pStyle w:val="style179"/>
        <w:numPr>
          <w:ilvl w:val="1"/>
          <w:numId w:val="15"/>
        </w:numPr>
        <w:rPr/>
      </w:pPr>
      <w:r>
        <w:rPr>
          <w:lang w:val="en-US"/>
        </w:rPr>
        <w:t>examen cyto-bactériologie des urines</w:t>
      </w:r>
    </w:p>
    <w:p w14:paraId="68024A1C">
      <w:pPr>
        <w:pStyle w:val="style179"/>
        <w:numPr>
          <w:ilvl w:val="1"/>
          <w:numId w:val="15"/>
        </w:numPr>
        <w:rPr/>
      </w:pPr>
      <w:r>
        <w:rPr>
          <w:lang w:val="en-US"/>
        </w:rPr>
        <w:t>biopsie endométriale</w:t>
      </w:r>
    </w:p>
    <w:p w14:paraId="672D9C7E">
      <w:pPr>
        <w:pStyle w:val="style179"/>
        <w:numPr>
          <w:ilvl w:val="0"/>
          <w:numId w:val="15"/>
        </w:numPr>
        <w:rPr/>
      </w:pPr>
      <w:r>
        <w:rPr>
          <w:lang w:val="en-US"/>
        </w:rPr>
        <w:t>imagérie</w:t>
      </w:r>
    </w:p>
    <w:p w14:paraId="6140BC52">
      <w:pPr>
        <w:pStyle w:val="style179"/>
        <w:numPr>
          <w:ilvl w:val="1"/>
          <w:numId w:val="15"/>
        </w:numPr>
        <w:rPr/>
      </w:pPr>
      <w:r>
        <w:rPr>
          <w:lang w:val="en-US"/>
        </w:rPr>
        <w:t xml:space="preserve">échographie pelvienne par voie endovaginale ou voie transabdominale : </w:t>
      </w:r>
    </w:p>
    <w:p w14:paraId="3B1125B8">
      <w:pPr>
        <w:pStyle w:val="style179"/>
        <w:numPr>
          <w:ilvl w:val="2"/>
          <w:numId w:val="15"/>
        </w:numPr>
        <w:rPr/>
      </w:pPr>
      <w:r>
        <w:rPr>
          <w:lang w:val="en-US"/>
        </w:rPr>
        <w:t>vacuité utérine</w:t>
      </w:r>
    </w:p>
    <w:p w14:paraId="AEA30373">
      <w:pPr>
        <w:pStyle w:val="style179"/>
        <w:numPr>
          <w:ilvl w:val="2"/>
          <w:numId w:val="15"/>
        </w:numPr>
        <w:rPr/>
      </w:pPr>
      <w:r>
        <w:rPr>
          <w:lang w:val="en-US"/>
        </w:rPr>
        <w:t>image annexielle ou latéro utérine</w:t>
      </w:r>
    </w:p>
    <w:p w14:paraId="DEC6650D">
      <w:pPr>
        <w:pStyle w:val="style179"/>
        <w:numPr>
          <w:ilvl w:val="2"/>
          <w:numId w:val="15"/>
        </w:numPr>
        <w:rPr/>
      </w:pPr>
      <w:r>
        <w:rPr>
          <w:lang w:val="en-US"/>
        </w:rPr>
        <w:t>image d'épanchement intra-péritonéale</w:t>
      </w:r>
    </w:p>
    <w:p w14:paraId="0B0201A9">
      <w:pPr>
        <w:pStyle w:val="style179"/>
        <w:numPr>
          <w:ilvl w:val="1"/>
          <w:numId w:val="15"/>
        </w:numPr>
        <w:rPr/>
      </w:pPr>
      <w:r>
        <w:rPr>
          <w:lang w:val="en-US"/>
        </w:rPr>
        <w:t>autres en fonction : ASP; TDM; IRM</w:t>
      </w:r>
    </w:p>
    <w:p w14:paraId="14647533">
      <w:pPr>
        <w:pStyle w:val="style179"/>
        <w:numPr>
          <w:ilvl w:val="0"/>
          <w:numId w:val="15"/>
        </w:numPr>
        <w:rPr/>
      </w:pPr>
      <w:r>
        <w:rPr>
          <w:lang w:val="en-US"/>
        </w:rPr>
        <w:t>coelioscopie</w:t>
      </w:r>
    </w:p>
    <w:p w14:paraId="CEC3C807">
      <w:pPr>
        <w:pStyle w:val="style179"/>
        <w:numPr>
          <w:ilvl w:val="1"/>
          <w:numId w:val="15"/>
        </w:numPr>
        <w:rPr/>
      </w:pPr>
      <w:r>
        <w:rPr>
          <w:lang w:val="en-US"/>
        </w:rPr>
        <w:t>visualisation directe de la cavité pelvienne et des organes</w:t>
      </w:r>
    </w:p>
    <w:p w14:paraId="23748D88">
      <w:pPr>
        <w:pStyle w:val="style179"/>
        <w:numPr>
          <w:ilvl w:val="1"/>
          <w:numId w:val="15"/>
        </w:numPr>
        <w:rPr/>
      </w:pPr>
      <w:r>
        <w:rPr>
          <w:lang w:val="en-US"/>
        </w:rPr>
        <w:t>prélèvements direct et gestes thérapeutiques assoicées</w:t>
      </w:r>
    </w:p>
    <w:p w14:paraId="6DA9D681">
      <w:pPr>
        <w:pStyle w:val="style0"/>
        <w:numPr>
          <w:ilvl w:val="0"/>
          <w:numId w:val="0"/>
        </w:numPr>
        <w:rPr/>
      </w:pPr>
    </w:p>
    <w:p w14:paraId="B5627315">
      <w:pPr>
        <w:pStyle w:val="style0"/>
        <w:numPr>
          <w:ilvl w:val="0"/>
          <w:numId w:val="0"/>
        </w:numPr>
        <w:rPr/>
      </w:pPr>
    </w:p>
    <w:p w14:paraId="C6C9ACB0">
      <w:pPr>
        <w:pStyle w:val="style0"/>
        <w:numPr>
          <w:ilvl w:val="0"/>
          <w:numId w:val="0"/>
        </w:numPr>
        <w:rPr/>
      </w:pPr>
    </w:p>
    <w:p>
      <w:pPr>
        <w:pStyle w:val="style1"/>
        <w:rPr/>
      </w:pPr>
      <w:r>
        <w:rPr>
          <w:lang w:val="en-US"/>
        </w:rPr>
        <w:t>Syndrome intermenstruel</w:t>
      </w:r>
    </w:p>
    <w:p>
      <w:pPr>
        <w:pStyle w:val="style2"/>
        <w:rPr/>
      </w:pPr>
      <w:r>
        <w:rPr>
          <w:lang w:val="en-US"/>
        </w:rPr>
        <w:t>définition</w:t>
      </w:r>
    </w:p>
    <w:p w14:paraId="DD2F8263">
      <w:pPr>
        <w:pStyle w:val="style179"/>
        <w:numPr>
          <w:ilvl w:val="0"/>
          <w:numId w:val="16"/>
        </w:numPr>
        <w:rPr/>
      </w:pPr>
      <w:r>
        <w:rPr>
          <w:lang w:val="en-US"/>
        </w:rPr>
        <w:t xml:space="preserve">ensemble de manifestation pathologique liée au phénomène d'ovulation </w:t>
      </w:r>
    </w:p>
    <w:p w14:paraId="F163770C">
      <w:pPr>
        <w:pStyle w:val="style179"/>
        <w:numPr>
          <w:ilvl w:val="0"/>
          <w:numId w:val="16"/>
        </w:numPr>
        <w:rPr/>
      </w:pPr>
      <w:r>
        <w:rPr>
          <w:lang w:val="en-US"/>
        </w:rPr>
        <w:t>fréquente : 1 femme sur 10 , exceptionnel chez les vierges , rare chez les multipares</w:t>
      </w:r>
    </w:p>
    <w:p w14:paraId="D92A8140">
      <w:pPr>
        <w:pStyle w:val="style179"/>
        <w:numPr>
          <w:ilvl w:val="0"/>
          <w:numId w:val="16"/>
        </w:numPr>
        <w:rPr/>
      </w:pPr>
      <w:r>
        <w:rPr>
          <w:lang w:val="en-US"/>
        </w:rPr>
        <w:t>sd fonctionnel +++</w:t>
      </w:r>
    </w:p>
    <w:p>
      <w:pPr>
        <w:pStyle w:val="style2"/>
        <w:rPr/>
      </w:pPr>
      <w:r>
        <w:rPr>
          <w:lang w:val="en-US"/>
        </w:rPr>
        <w:t>manifestation physiopathologique</w:t>
      </w:r>
    </w:p>
    <w:p w14:paraId="1EAB85B3">
      <w:pPr>
        <w:pStyle w:val="style179"/>
        <w:numPr>
          <w:ilvl w:val="0"/>
          <w:numId w:val="17"/>
        </w:numPr>
        <w:rPr/>
      </w:pPr>
      <w:r>
        <w:rPr>
          <w:lang w:val="en-US"/>
        </w:rPr>
        <w:t xml:space="preserve">sd fonctionnel : </w:t>
      </w:r>
    </w:p>
    <w:p w14:paraId="BCA9A936">
      <w:pPr>
        <w:pStyle w:val="style179"/>
        <w:numPr>
          <w:ilvl w:val="1"/>
          <w:numId w:val="17"/>
        </w:numPr>
        <w:rPr/>
      </w:pPr>
      <w:r>
        <w:rPr>
          <w:lang w:val="en-US"/>
        </w:rPr>
        <w:t>poussé d'E2 : congestion</w:t>
      </w:r>
    </w:p>
    <w:p w14:paraId="AFB5D41F">
      <w:pPr>
        <w:pStyle w:val="style179"/>
        <w:numPr>
          <w:ilvl w:val="1"/>
          <w:numId w:val="17"/>
        </w:numPr>
        <w:rPr/>
      </w:pPr>
      <w:r>
        <w:rPr>
          <w:lang w:val="en-US"/>
        </w:rPr>
        <w:t>rupture folliculaire : irritation péritonéale</w:t>
      </w:r>
    </w:p>
    <w:p w14:paraId="A0E9D9C3">
      <w:pPr>
        <w:pStyle w:val="style179"/>
        <w:numPr>
          <w:ilvl w:val="0"/>
          <w:numId w:val="17"/>
        </w:numPr>
        <w:rPr/>
      </w:pPr>
      <w:r>
        <w:rPr>
          <w:lang w:val="en-US"/>
        </w:rPr>
        <w:t xml:space="preserve">sd lésionnel : </w:t>
      </w:r>
    </w:p>
    <w:p w14:paraId="CA346895">
      <w:pPr>
        <w:pStyle w:val="style179"/>
        <w:numPr>
          <w:ilvl w:val="1"/>
          <w:numId w:val="17"/>
        </w:numPr>
        <w:rPr/>
      </w:pPr>
      <w:r>
        <w:rPr>
          <w:lang w:val="en-US"/>
        </w:rPr>
        <w:t>congestion : douelur organique quiescente</w:t>
      </w:r>
    </w:p>
    <w:p w14:paraId="7FA67BE6">
      <w:pPr>
        <w:pStyle w:val="style179"/>
        <w:numPr>
          <w:ilvl w:val="1"/>
          <w:numId w:val="17"/>
        </w:numPr>
        <w:rPr/>
      </w:pPr>
      <w:r>
        <w:rPr>
          <w:lang w:val="en-US"/>
        </w:rPr>
        <w:t>PMOS (polymetabolic ovary syndrom) (ancie SOPK (sd des ovaire polykistique))</w:t>
      </w:r>
    </w:p>
    <w:p>
      <w:pPr>
        <w:pStyle w:val="style2"/>
        <w:rPr/>
      </w:pPr>
      <w:r>
        <w:rPr>
          <w:lang w:val="en-US"/>
        </w:rPr>
        <w:t>clinique</w:t>
      </w:r>
    </w:p>
    <w:p w14:paraId="BBC585D4">
      <w:pPr>
        <w:pStyle w:val="style179"/>
        <w:numPr>
          <w:ilvl w:val="0"/>
          <w:numId w:val="18"/>
        </w:numPr>
        <w:rPr/>
      </w:pPr>
      <w:r>
        <w:rPr>
          <w:lang w:val="en-US"/>
        </w:rPr>
        <w:t xml:space="preserve">douleur pelvienne : </w:t>
      </w:r>
    </w:p>
    <w:p w14:paraId="EEBD2C60">
      <w:pPr>
        <w:pStyle w:val="style179"/>
        <w:numPr>
          <w:ilvl w:val="1"/>
          <w:numId w:val="18"/>
        </w:numPr>
        <w:rPr/>
      </w:pPr>
      <w:r>
        <w:rPr>
          <w:lang w:val="en-US"/>
        </w:rPr>
        <w:t xml:space="preserve">unilatérale, intensité variable </w:t>
      </w:r>
    </w:p>
    <w:p w14:paraId="EF8F60FD">
      <w:pPr>
        <w:pStyle w:val="style179"/>
        <w:numPr>
          <w:ilvl w:val="1"/>
          <w:numId w:val="18"/>
        </w:numPr>
        <w:rPr/>
      </w:pPr>
      <w:r>
        <w:rPr>
          <w:lang w:val="en-US"/>
        </w:rPr>
        <w:t>durée quelques heures , max 48 h</w:t>
      </w:r>
    </w:p>
    <w:p w14:paraId="CB532E4D">
      <w:pPr>
        <w:pStyle w:val="style179"/>
        <w:numPr>
          <w:ilvl w:val="1"/>
          <w:numId w:val="18"/>
        </w:numPr>
        <w:rPr/>
      </w:pPr>
      <w:r>
        <w:rPr>
          <w:lang w:val="en-US"/>
        </w:rPr>
        <w:t>métrorragie : minime et brève parfois pseudo menstruele</w:t>
      </w:r>
    </w:p>
    <w:p w14:paraId="EB08236F">
      <w:pPr>
        <w:pStyle w:val="style179"/>
        <w:numPr>
          <w:ilvl w:val="1"/>
          <w:numId w:val="18"/>
        </w:numPr>
        <w:rPr/>
      </w:pPr>
      <w:r>
        <w:rPr>
          <w:lang w:val="en-US"/>
        </w:rPr>
        <w:t xml:space="preserve">sd de congestion : mammaire , pelvienne, météorisme, </w:t>
      </w:r>
    </w:p>
    <w:p w14:paraId="9D7A0FE0">
      <w:pPr>
        <w:pStyle w:val="style179"/>
        <w:numPr>
          <w:ilvl w:val="1"/>
          <w:numId w:val="18"/>
        </w:numPr>
        <w:rPr/>
      </w:pPr>
      <w:r>
        <w:rPr>
          <w:lang w:val="en-US"/>
        </w:rPr>
        <w:t>manifestation psychique rarement</w:t>
      </w:r>
    </w:p>
    <w:p>
      <w:pPr>
        <w:pStyle w:val="style2"/>
        <w:rPr/>
      </w:pPr>
      <w:r>
        <w:rPr>
          <w:lang w:val="en-US"/>
        </w:rPr>
        <w:t>examen complémentaire</w:t>
      </w:r>
    </w:p>
    <w:p w14:paraId="81434B52">
      <w:pPr>
        <w:pStyle w:val="style179"/>
        <w:numPr>
          <w:ilvl w:val="0"/>
          <w:numId w:val="19"/>
        </w:numPr>
        <w:rPr/>
      </w:pPr>
      <w:r>
        <w:rPr>
          <w:lang w:val="en-US"/>
        </w:rPr>
        <w:t xml:space="preserve">echgraphie pelvienne : </w:t>
      </w:r>
    </w:p>
    <w:p w14:paraId="3B5E8278">
      <w:pPr>
        <w:pStyle w:val="style179"/>
        <w:numPr>
          <w:ilvl w:val="1"/>
          <w:numId w:val="19"/>
        </w:numPr>
        <w:rPr/>
      </w:pPr>
      <w:r>
        <w:rPr>
          <w:lang w:val="en-US"/>
        </w:rPr>
        <w:t>lame liquidienne dans la Douglas</w:t>
      </w:r>
    </w:p>
    <w:p w14:paraId="1D58637C">
      <w:pPr>
        <w:pStyle w:val="style179"/>
        <w:numPr>
          <w:ilvl w:val="1"/>
          <w:numId w:val="19"/>
        </w:numPr>
        <w:rPr/>
      </w:pPr>
      <w:r>
        <w:rPr>
          <w:lang w:val="en-US"/>
        </w:rPr>
        <w:t>ovaire porteurs des kystes folliculaires</w:t>
      </w:r>
    </w:p>
    <w:p w14:paraId="08DA1138">
      <w:pPr>
        <w:pStyle w:val="style179"/>
        <w:numPr>
          <w:ilvl w:val="0"/>
          <w:numId w:val="19"/>
        </w:numPr>
        <w:rPr/>
      </w:pPr>
      <w:r>
        <w:rPr>
          <w:lang w:val="en-US"/>
        </w:rPr>
        <w:t xml:space="preserve">prise en charge </w:t>
      </w:r>
    </w:p>
    <w:p w14:paraId="D445A220">
      <w:pPr>
        <w:pStyle w:val="style179"/>
        <w:numPr>
          <w:ilvl w:val="1"/>
          <w:numId w:val="19"/>
        </w:numPr>
        <w:rPr/>
      </w:pPr>
      <w:r>
        <w:rPr>
          <w:lang w:val="en-US"/>
        </w:rPr>
        <w:t xml:space="preserve">antalgique </w:t>
      </w:r>
    </w:p>
    <w:p w14:paraId="A354463C">
      <w:pPr>
        <w:pStyle w:val="style179"/>
        <w:numPr>
          <w:ilvl w:val="1"/>
          <w:numId w:val="19"/>
        </w:numPr>
        <w:rPr/>
      </w:pPr>
      <w:r>
        <w:rPr>
          <w:lang w:val="en-US"/>
        </w:rPr>
        <w:t xml:space="preserve">blocage de l'ovulation </w:t>
      </w:r>
    </w:p>
    <w:p>
      <w:pPr>
        <w:pStyle w:val="style1"/>
        <w:rPr/>
      </w:pPr>
      <w:r>
        <w:rPr>
          <w:lang w:val="en-US"/>
        </w:rPr>
        <w:t>Syndrome prémenstruel</w:t>
      </w:r>
    </w:p>
    <w:p>
      <w:pPr>
        <w:pStyle w:val="style2"/>
        <w:rPr/>
      </w:pPr>
      <w:r>
        <w:rPr>
          <w:lang w:val="en-US"/>
        </w:rPr>
        <w:t>définition</w:t>
      </w:r>
    </w:p>
    <w:p w14:paraId="65CC6D57">
      <w:pPr>
        <w:pStyle w:val="style179"/>
        <w:numPr>
          <w:ilvl w:val="0"/>
          <w:numId w:val="20"/>
        </w:numPr>
        <w:rPr/>
      </w:pPr>
      <w:r>
        <w:rPr>
          <w:lang w:val="en-US"/>
        </w:rPr>
        <w:t>ensemble de manifestation pathologique précédant immédiatement les menstruations</w:t>
      </w:r>
    </w:p>
    <w:p w14:paraId="7732C047">
      <w:pPr>
        <w:pStyle w:val="style179"/>
        <w:numPr>
          <w:ilvl w:val="0"/>
          <w:numId w:val="20"/>
        </w:numPr>
        <w:rPr/>
      </w:pPr>
      <w:r>
        <w:rPr>
          <w:lang w:val="en-US"/>
        </w:rPr>
        <w:t>fréquente : 85% des femmes mais 30% pathologique</w:t>
      </w:r>
    </w:p>
    <w:p w14:paraId="A6C4DC20">
      <w:pPr>
        <w:pStyle w:val="style179"/>
        <w:numPr>
          <w:ilvl w:val="0"/>
          <w:numId w:val="20"/>
        </w:numPr>
        <w:rPr/>
      </w:pPr>
      <w:r>
        <w:rPr>
          <w:lang w:val="en-US"/>
        </w:rPr>
        <w:t>sd fonctionnel +++</w:t>
      </w:r>
    </w:p>
    <w:p>
      <w:pPr>
        <w:pStyle w:val="style2"/>
        <w:rPr/>
      </w:pPr>
      <w:r>
        <w:rPr>
          <w:lang w:val="en-US"/>
        </w:rPr>
        <w:t>mécanisme physiopathologique</w:t>
      </w:r>
    </w:p>
    <w:p w14:paraId="02BF1781">
      <w:pPr>
        <w:pStyle w:val="style179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sd fonctionnel : carence rélative en progestérone </w:t>
      </w:r>
    </w:p>
    <w:p w14:paraId="526AD7C8">
      <w:pPr>
        <w:pStyle w:val="style179"/>
        <w:numPr>
          <w:ilvl w:val="1"/>
          <w:numId w:val="21"/>
        </w:numPr>
        <w:rPr>
          <w:lang w:val="en-US"/>
        </w:rPr>
      </w:pPr>
      <w:r>
        <w:rPr>
          <w:lang w:val="en-US"/>
        </w:rPr>
        <w:t>sd de congestion</w:t>
      </w:r>
    </w:p>
    <w:p w14:paraId="4C680212">
      <w:pPr>
        <w:pStyle w:val="style179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troubles liés à une carence en progestérone </w:t>
      </w:r>
    </w:p>
    <w:p>
      <w:pPr>
        <w:pStyle w:val="style2"/>
        <w:rPr/>
      </w:pPr>
      <w:r>
        <w:rPr>
          <w:lang w:val="en-US"/>
        </w:rPr>
        <w:t>clinique</w:t>
      </w:r>
    </w:p>
    <w:p w14:paraId="7B3B774B">
      <w:pPr>
        <w:pStyle w:val="style179"/>
        <w:numPr>
          <w:ilvl w:val="0"/>
          <w:numId w:val="22"/>
        </w:numPr>
        <w:rPr/>
      </w:pPr>
      <w:r>
        <w:rPr>
          <w:lang w:val="en-US"/>
        </w:rPr>
        <w:t xml:space="preserve">sd congestif : </w:t>
      </w:r>
    </w:p>
    <w:p w14:paraId="3CB197E1">
      <w:pPr>
        <w:pStyle w:val="style179"/>
        <w:numPr>
          <w:ilvl w:val="1"/>
          <w:numId w:val="22"/>
        </w:numPr>
        <w:rPr/>
      </w:pPr>
      <w:r>
        <w:rPr>
          <w:lang w:val="en-US"/>
        </w:rPr>
        <w:t>congestion mammaire</w:t>
      </w:r>
    </w:p>
    <w:p w14:paraId="27BC18CD">
      <w:pPr>
        <w:pStyle w:val="style179"/>
        <w:numPr>
          <w:ilvl w:val="1"/>
          <w:numId w:val="22"/>
        </w:numPr>
        <w:rPr/>
      </w:pPr>
      <w:r>
        <w:rPr>
          <w:lang w:val="en-US"/>
        </w:rPr>
        <w:t>congestion abdomino-pelvienne</w:t>
      </w:r>
    </w:p>
    <w:p w14:paraId="0AF8F680">
      <w:pPr>
        <w:pStyle w:val="style179"/>
        <w:numPr>
          <w:ilvl w:val="1"/>
          <w:numId w:val="22"/>
        </w:numPr>
        <w:rPr/>
      </w:pPr>
      <w:r>
        <w:rPr>
          <w:lang w:val="en-US"/>
        </w:rPr>
        <w:t>congestion veineuse</w:t>
      </w:r>
    </w:p>
    <w:p w14:paraId="A327D354">
      <w:pPr>
        <w:pStyle w:val="style179"/>
        <w:numPr>
          <w:ilvl w:val="1"/>
          <w:numId w:val="22"/>
        </w:numPr>
        <w:rPr/>
      </w:pPr>
      <w:r>
        <w:rPr>
          <w:lang w:val="en-US"/>
        </w:rPr>
        <w:t>rétention hydrosodée</w:t>
      </w:r>
    </w:p>
    <w:p w14:paraId="4C163769">
      <w:pPr>
        <w:pStyle w:val="style179"/>
        <w:numPr>
          <w:ilvl w:val="0"/>
          <w:numId w:val="22"/>
        </w:numPr>
        <w:rPr/>
      </w:pPr>
      <w:r>
        <w:rPr>
          <w:lang w:val="en-US"/>
        </w:rPr>
        <w:t>sd psychologique :</w:t>
      </w:r>
    </w:p>
    <w:p w14:paraId="DC284786">
      <w:pPr>
        <w:pStyle w:val="style179"/>
        <w:numPr>
          <w:ilvl w:val="1"/>
          <w:numId w:val="22"/>
        </w:numPr>
        <w:rPr/>
      </w:pPr>
      <w:r>
        <w:rPr>
          <w:lang w:val="en-US"/>
        </w:rPr>
        <w:t>irritabilité, anxiété ,trouble de sommeil ..</w:t>
      </w:r>
    </w:p>
    <w:p w14:paraId="BF5AEB4C">
      <w:pPr>
        <w:pStyle w:val="style179"/>
        <w:numPr>
          <w:ilvl w:val="0"/>
          <w:numId w:val="22"/>
        </w:numPr>
        <w:rPr/>
      </w:pPr>
      <w:r>
        <w:rPr>
          <w:lang w:val="en-US"/>
        </w:rPr>
        <w:t xml:space="preserve">sd neuro-végétatif </w:t>
      </w:r>
    </w:p>
    <w:p w14:paraId="B9269551">
      <w:pPr>
        <w:pStyle w:val="style179"/>
        <w:numPr>
          <w:ilvl w:val="1"/>
          <w:numId w:val="22"/>
        </w:numPr>
        <w:rPr/>
      </w:pPr>
      <w:r>
        <w:rPr>
          <w:lang w:val="en-US"/>
        </w:rPr>
        <w:t>céphalées, troubles digestifs</w:t>
      </w:r>
    </w:p>
    <w:p w14:paraId="04B2B74B">
      <w:pPr>
        <w:pStyle w:val="style179"/>
        <w:numPr>
          <w:ilvl w:val="1"/>
          <w:numId w:val="22"/>
        </w:numPr>
        <w:rPr/>
      </w:pPr>
      <w:r>
        <w:rPr>
          <w:lang w:val="en-US"/>
        </w:rPr>
        <w:t>trouble ORL</w:t>
      </w:r>
    </w:p>
    <w:p w14:paraId="D7D3519C">
      <w:pPr>
        <w:pStyle w:val="style179"/>
        <w:numPr>
          <w:ilvl w:val="1"/>
          <w:numId w:val="22"/>
        </w:numPr>
        <w:rPr/>
      </w:pPr>
      <w:r>
        <w:rPr>
          <w:lang w:val="en-US"/>
        </w:rPr>
        <w:t>cystalgies, pollakurie</w:t>
      </w:r>
    </w:p>
    <w:p>
      <w:pPr>
        <w:pStyle w:val="style2"/>
        <w:rPr/>
      </w:pPr>
      <w:r>
        <w:t>prise en charge</w:t>
      </w:r>
    </w:p>
    <w:p w14:paraId="F18CD305">
      <w:pPr>
        <w:pStyle w:val="style179"/>
        <w:numPr>
          <w:ilvl w:val="0"/>
          <w:numId w:val="23"/>
        </w:numPr>
        <w:rPr/>
      </w:pPr>
      <w:r>
        <w:rPr>
          <w:lang w:val="en-US"/>
        </w:rPr>
        <w:t>antalgique simple</w:t>
      </w:r>
    </w:p>
    <w:p w14:paraId="EC03CE70">
      <w:pPr>
        <w:pStyle w:val="style179"/>
        <w:numPr>
          <w:ilvl w:val="0"/>
          <w:numId w:val="23"/>
        </w:numPr>
        <w:rPr/>
      </w:pPr>
      <w:r>
        <w:rPr>
          <w:lang w:val="en-US"/>
        </w:rPr>
        <w:t>anti-inflammatoire</w:t>
      </w:r>
    </w:p>
    <w:p w14:paraId="B7C8802C">
      <w:pPr>
        <w:pStyle w:val="style179"/>
        <w:numPr>
          <w:ilvl w:val="0"/>
          <w:numId w:val="23"/>
        </w:numPr>
        <w:rPr/>
      </w:pPr>
      <w:r>
        <w:rPr>
          <w:lang w:val="en-US"/>
        </w:rPr>
        <w:t xml:space="preserve">progestatifs : </w:t>
      </w:r>
    </w:p>
    <w:p w14:paraId="7F4D74E8">
      <w:pPr>
        <w:pStyle w:val="style179"/>
        <w:numPr>
          <w:ilvl w:val="1"/>
          <w:numId w:val="23"/>
        </w:numPr>
        <w:rPr/>
      </w:pPr>
      <w:r>
        <w:rPr>
          <w:lang w:val="en-US"/>
        </w:rPr>
        <w:t>éviter les nortéroides : effets virilisants</w:t>
      </w:r>
    </w:p>
    <w:p w14:paraId="98CFEDFD">
      <w:pPr>
        <w:pStyle w:val="style179"/>
        <w:numPr>
          <w:ilvl w:val="1"/>
          <w:numId w:val="23"/>
        </w:numPr>
        <w:rPr/>
      </w:pPr>
      <w:r>
        <w:rPr>
          <w:lang w:val="en-US"/>
        </w:rPr>
        <w:t>prescrire les genre dydrogestérone: 2cp/j du 16ème au 25ème jour du cycle</w:t>
      </w:r>
    </w:p>
    <w:p w14:paraId="CEC5EE49">
      <w:pPr>
        <w:pStyle w:val="style179"/>
        <w:numPr>
          <w:ilvl w:val="0"/>
          <w:numId w:val="23"/>
        </w:numPr>
        <w:rPr/>
      </w:pPr>
      <w:r>
        <w:rPr>
          <w:lang w:val="en-US"/>
        </w:rPr>
        <w:t xml:space="preserve">regles hygiéno-diététiques </w:t>
      </w:r>
    </w:p>
    <w:p w14:paraId="2CD9540A">
      <w:pPr>
        <w:pStyle w:val="style179"/>
        <w:numPr>
          <w:ilvl w:val="0"/>
          <w:numId w:val="23"/>
        </w:numPr>
        <w:rPr/>
      </w:pPr>
      <w:r>
        <w:rPr>
          <w:lang w:val="en-US"/>
        </w:rPr>
        <w:t xml:space="preserve">quelques fois anxyolitiques </w:t>
      </w:r>
    </w:p>
    <w:p>
      <w:pPr>
        <w:pStyle w:val="style1"/>
        <w:rPr/>
      </w:pPr>
      <w:r>
        <w:rPr>
          <w:lang w:val="en-US"/>
        </w:rPr>
        <w:t>Syndrome menstruel : dysménorrhée</w:t>
      </w:r>
    </w:p>
    <w:p>
      <w:pPr>
        <w:pStyle w:val="style2"/>
        <w:rPr/>
      </w:pPr>
      <w:r>
        <w:rPr>
          <w:lang w:val="en-US"/>
        </w:rPr>
        <w:t xml:space="preserve">définition </w:t>
      </w:r>
    </w:p>
    <w:p w14:paraId="9D9C4593">
      <w:pPr>
        <w:pStyle w:val="style179"/>
        <w:numPr>
          <w:ilvl w:val="0"/>
          <w:numId w:val="24"/>
        </w:numPr>
        <w:rPr/>
      </w:pPr>
      <w:r>
        <w:rPr>
          <w:lang w:val="en-US"/>
        </w:rPr>
        <w:t xml:space="preserve">symptome accompagnat les menstruations </w:t>
      </w:r>
    </w:p>
    <w:p w14:paraId="C3BDEBCC">
      <w:pPr>
        <w:pStyle w:val="style179"/>
        <w:numPr>
          <w:ilvl w:val="0"/>
          <w:numId w:val="24"/>
        </w:numPr>
        <w:rPr/>
      </w:pPr>
      <w:r>
        <w:rPr>
          <w:lang w:val="en-US"/>
        </w:rPr>
        <w:t>primaire ou essentielle : fonctionnel, d'apparition très tot</w:t>
      </w:r>
    </w:p>
    <w:p w14:paraId="2B37C0BF">
      <w:pPr>
        <w:pStyle w:val="style179"/>
        <w:numPr>
          <w:ilvl w:val="0"/>
          <w:numId w:val="24"/>
        </w:numPr>
        <w:rPr/>
      </w:pPr>
      <w:r>
        <w:rPr>
          <w:lang w:val="en-US"/>
        </w:rPr>
        <w:t>secondaire : d'apparition tardive, d'origine organique</w:t>
      </w:r>
    </w:p>
    <w:p>
      <w:pPr>
        <w:pStyle w:val="style2"/>
        <w:rPr/>
      </w:pPr>
      <w:r>
        <w:rPr>
          <w:lang w:val="en-US"/>
        </w:rPr>
        <w:t>mécanisme physiopathologique</w:t>
      </w:r>
    </w:p>
    <w:p w14:paraId="305D56C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plusieurs hypothèses</w:t>
      </w:r>
    </w:p>
    <w:p w14:paraId="45EE3125">
      <w:pPr>
        <w:pStyle w:val="style179"/>
        <w:numPr>
          <w:ilvl w:val="0"/>
          <w:numId w:val="25"/>
        </w:numPr>
        <w:rPr/>
      </w:pPr>
      <w:r>
        <w:rPr>
          <w:lang w:val="en-US"/>
        </w:rPr>
        <w:t>dysmenorrhée primaire :</w:t>
      </w:r>
    </w:p>
    <w:p w14:paraId="ECFC3759">
      <w:pPr>
        <w:pStyle w:val="style179"/>
        <w:numPr>
          <w:ilvl w:val="1"/>
          <w:numId w:val="25"/>
        </w:numPr>
        <w:rPr/>
      </w:pPr>
      <w:r>
        <w:rPr>
          <w:lang w:val="en-US"/>
        </w:rPr>
        <w:t xml:space="preserve">anomalie de la contractilité myomètre, </w:t>
      </w:r>
    </w:p>
    <w:p w14:paraId="96409696">
      <w:pPr>
        <w:pStyle w:val="style179"/>
        <w:numPr>
          <w:ilvl w:val="1"/>
          <w:numId w:val="25"/>
        </w:numPr>
        <w:rPr/>
      </w:pPr>
      <w:r>
        <w:rPr>
          <w:lang w:val="en-US"/>
        </w:rPr>
        <w:t>ischémie rélative pendant les contractions</w:t>
      </w:r>
    </w:p>
    <w:p w14:paraId="382C235B">
      <w:pPr>
        <w:pStyle w:val="style179"/>
        <w:numPr>
          <w:ilvl w:val="1"/>
          <w:numId w:val="25"/>
        </w:numPr>
        <w:rPr/>
      </w:pPr>
      <w:r>
        <w:rPr>
          <w:lang w:val="en-US"/>
        </w:rPr>
        <w:t>gênes à l'écoulement du flux menstruel</w:t>
      </w:r>
    </w:p>
    <w:p w14:paraId="C185AD0E">
      <w:pPr>
        <w:pStyle w:val="style179"/>
        <w:numPr>
          <w:ilvl w:val="1"/>
          <w:numId w:val="25"/>
        </w:numPr>
        <w:rPr/>
      </w:pPr>
      <w:r>
        <w:rPr>
          <w:lang w:val="en-US"/>
        </w:rPr>
        <w:t>facteur hormonal : excès de prostaglandine (puissant hormone contractant du myomètre)</w:t>
      </w:r>
    </w:p>
    <w:p w14:paraId="80792B6E">
      <w:pPr>
        <w:pStyle w:val="style179"/>
        <w:numPr>
          <w:ilvl w:val="0"/>
          <w:numId w:val="25"/>
        </w:numPr>
        <w:rPr/>
      </w:pPr>
      <w:r>
        <w:rPr>
          <w:lang w:val="en-US"/>
        </w:rPr>
        <w:t xml:space="preserve">dysménorrhée secondaire </w:t>
      </w:r>
    </w:p>
    <w:p w14:paraId="881FD68C">
      <w:pPr>
        <w:pStyle w:val="style179"/>
        <w:numPr>
          <w:ilvl w:val="1"/>
          <w:numId w:val="25"/>
        </w:numPr>
        <w:rPr/>
      </w:pPr>
      <w:r>
        <w:rPr>
          <w:lang w:val="en-US"/>
        </w:rPr>
        <w:t>endométriose</w:t>
      </w:r>
    </w:p>
    <w:p>
      <w:pPr>
        <w:pStyle w:val="style2"/>
        <w:rPr/>
      </w:pPr>
      <w:r>
        <w:rPr>
          <w:lang w:val="en-US"/>
        </w:rPr>
        <w:t>clinique</w:t>
      </w:r>
    </w:p>
    <w:p w14:paraId="9002AC36">
      <w:pPr>
        <w:pStyle w:val="style179"/>
        <w:numPr>
          <w:ilvl w:val="0"/>
          <w:numId w:val="26"/>
        </w:numPr>
        <w:rPr/>
      </w:pPr>
      <w:r>
        <w:rPr>
          <w:lang w:val="en-US"/>
        </w:rPr>
        <w:t>primaire : apparition très tot d'origine fonctionnel</w:t>
      </w:r>
    </w:p>
    <w:p w14:paraId="07C538F0">
      <w:pPr>
        <w:pStyle w:val="style179"/>
        <w:numPr>
          <w:ilvl w:val="0"/>
          <w:numId w:val="26"/>
        </w:numPr>
        <w:rPr/>
      </w:pPr>
      <w:r>
        <w:rPr>
          <w:lang w:val="en-US"/>
        </w:rPr>
        <w:t>secondaire : d'apparition tardive , d'origine organique</w:t>
      </w:r>
    </w:p>
    <w:p>
      <w:pPr>
        <w:pStyle w:val="style2"/>
        <w:rPr/>
      </w:pPr>
      <w:r>
        <w:rPr>
          <w:lang w:val="en-US"/>
        </w:rPr>
        <w:t>traitement</w:t>
      </w:r>
    </w:p>
    <w:p w14:paraId="36293A86">
      <w:pPr>
        <w:pStyle w:val="style179"/>
        <w:numPr>
          <w:ilvl w:val="0"/>
          <w:numId w:val="27"/>
        </w:numPr>
        <w:rPr/>
      </w:pPr>
      <w:r>
        <w:rPr>
          <w:lang w:val="en-US"/>
        </w:rPr>
        <w:t>AINS : acide méfénamique (ponstyl)</w:t>
      </w:r>
    </w:p>
    <w:p w14:paraId="44C2DF5A">
      <w:pPr>
        <w:pStyle w:val="style179"/>
        <w:numPr>
          <w:ilvl w:val="0"/>
          <w:numId w:val="27"/>
        </w:numPr>
        <w:rPr/>
      </w:pPr>
      <w:r>
        <w:rPr>
          <w:lang w:val="en-US"/>
        </w:rPr>
        <w:t>antispasmodique : phloroglucinol (spafon)</w:t>
      </w:r>
    </w:p>
    <w:p w14:paraId="16DEA5E6">
      <w:pPr>
        <w:pStyle w:val="style179"/>
        <w:numPr>
          <w:ilvl w:val="0"/>
          <w:numId w:val="27"/>
        </w:numPr>
        <w:rPr/>
      </w:pPr>
      <w:r>
        <w:rPr>
          <w:lang w:val="en-US"/>
        </w:rPr>
        <w:t xml:space="preserve">progestatifs ou oestro-pregestatifs </w:t>
      </w:r>
    </w:p>
    <w:p>
      <w:pPr>
        <w:pStyle w:val="style1"/>
        <w:rPr/>
      </w:pPr>
      <w:r>
        <w:rPr>
          <w:lang w:val="en-US"/>
        </w:rPr>
        <w:t>conclusion</w:t>
      </w:r>
    </w:p>
    <w:p w14:paraId="1E86AE02">
      <w:pPr>
        <w:pStyle w:val="style179"/>
        <w:numPr>
          <w:ilvl w:val="0"/>
          <w:numId w:val="28"/>
        </w:numPr>
        <w:rPr/>
      </w:pPr>
      <w:r>
        <w:rPr>
          <w:lang w:val="en-US"/>
        </w:rPr>
        <w:t>pathologie purment fonctionnels+++</w:t>
      </w:r>
    </w:p>
    <w:p w14:paraId="B1C2AFEB">
      <w:pPr>
        <w:pStyle w:val="style179"/>
        <w:numPr>
          <w:ilvl w:val="0"/>
          <w:numId w:val="28"/>
        </w:numPr>
        <w:rPr/>
      </w:pPr>
      <w:r>
        <w:rPr>
          <w:lang w:val="en-US"/>
        </w:rPr>
        <w:t>étiologie organique à rechercher</w:t>
      </w:r>
    </w:p>
    <w:p w14:paraId="CA4AC3A4">
      <w:pPr>
        <w:pStyle w:val="style179"/>
        <w:numPr>
          <w:ilvl w:val="0"/>
          <w:numId w:val="28"/>
        </w:numPr>
        <w:rPr/>
      </w:pPr>
      <w:r>
        <w:rPr>
          <w:lang w:val="en-US"/>
        </w:rPr>
        <w:t>gravité variable, mais qualité de vie altérée</w:t>
      </w:r>
    </w:p>
    <w:p w14:paraId="EE9CD056">
      <w:pPr>
        <w:pStyle w:val="style179"/>
        <w:numPr>
          <w:ilvl w:val="0"/>
          <w:numId w:val="28"/>
        </w:numPr>
        <w:rPr/>
      </w:pPr>
      <w:r>
        <w:rPr>
          <w:lang w:val="en-US"/>
        </w:rPr>
        <w:t>examen complementaire rarement indiquée</w:t>
      </w:r>
    </w:p>
    <w:p w14:paraId="F84B6ACA">
      <w:pPr>
        <w:pStyle w:val="style179"/>
        <w:numPr>
          <w:ilvl w:val="0"/>
          <w:numId w:val="28"/>
        </w:numPr>
        <w:rPr/>
      </w:pPr>
      <w:r>
        <w:rPr>
          <w:lang w:val="en-US"/>
        </w:rPr>
        <w:t>traitement médicale :</w:t>
      </w:r>
    </w:p>
    <w:p w14:paraId="67D69EBC">
      <w:pPr>
        <w:pStyle w:val="style179"/>
        <w:numPr>
          <w:ilvl w:val="1"/>
          <w:numId w:val="28"/>
        </w:numPr>
        <w:rPr/>
      </w:pPr>
      <w:r>
        <w:rPr>
          <w:lang w:val="en-US"/>
        </w:rPr>
        <w:t>symptomatique +++</w:t>
      </w:r>
    </w:p>
    <w:p w14:paraId="0934D0A7">
      <w:pPr>
        <w:pStyle w:val="style179"/>
        <w:numPr>
          <w:ilvl w:val="1"/>
          <w:numId w:val="28"/>
        </w:numPr>
        <w:rPr/>
      </w:pPr>
      <w:r>
        <w:rPr>
          <w:lang w:val="en-US"/>
        </w:rPr>
        <w:t xml:space="preserve">traitement hormonal </w:t>
      </w:r>
    </w:p>
    <w:p w14:paraId="28146E11">
      <w:pPr>
        <w:pStyle w:val="style0"/>
        <w:numPr>
          <w:ilvl w:val="0"/>
          <w:numId w:val="0"/>
        </w:numPr>
        <w:rPr/>
      </w:pPr>
    </w:p>
    <w:sectPr>
      <w:headerReference w:type="default" r:id="rId2"/>
      <w:footerReference w:type="even" r:id="rId3"/>
      <w:footerReference w:type="default" r:id="rId4"/>
      <w:headerReference w:type="first" r:id="rId5"/>
      <w:pgSz w:w="8391" w:h="11906" w:orient="portrait" w:code="11"/>
      <w:pgMar w:top="737" w:right="851" w:bottom="1418" w:left="851" w:header="283" w:footer="90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A0002AEF" w:usb1="4000207B" w:usb2="00000000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2AEF" w:usb1="4000207B" w:usb2="00000000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2A1D1B2">
    <w:pPr>
      <w:pStyle w:val="style32"/>
      <w:pBdr>
        <w:bottom w:val="single" w:sz="4" w:space="31" w:color="auto"/>
      </w:pBdr>
      <w:rPr/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CA0438A">
    <w:pPr>
      <w:pStyle w:val="style32"/>
      <w:numPr>
        <w:ilvl w:val="0"/>
        <w:numId w:val="0"/>
      </w:numPr>
      <w:pBdr>
        <w:bottom w:val="single" w:sz="4" w:space="31" w:color="auto"/>
      </w:pBdr>
      <w:ind w:left="360" w:hanging="360"/>
      <w:rPr>
        <w:u w:val="single"/>
      </w:rPr>
    </w:pPr>
    <w:r>
      <w:rPr>
        <w:u w:val="single"/>
      </w:rPr>
      <w:t>Vos notes</w:t>
    </w:r>
    <w:r>
      <w:t> :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81B6D35">
    <w:pPr>
      <w:pStyle w:val="style31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  <w:noProof/>
      </w:rPr>
      <mc:AlternateContent>
        <mc:Choice Requires="wps">
          <w:drawing>
            <wp:anchor distT="0" distB="0" distL="0" distR="0" simplePos="false" relativeHeight="2" behindDoc="false" locked="false" layoutInCell="false" allowOverlap="true">
              <wp:simplePos x="0" y="0"/>
              <wp:positionH relativeFrom="rightMargin">
                <wp:align>center</wp:align>
              </wp:positionH>
              <wp:positionV relativeFrom="margin">
                <wp:align>top</wp:align>
              </wp:positionV>
              <wp:extent cx="581025" cy="409575"/>
              <wp:effectExtent l="0" t="0" r="0" b="0"/>
              <wp:wrapNone/>
              <wp:docPr id="4097" name="Flèche : droite 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81025" cy="409575"/>
                      </a:xfrm>
                      <a:prstGeom prst="rightArrow">
                        <a:avLst>
                          <a:gd name="adj1" fmla="val 50278"/>
                          <a:gd name="adj2" fmla="val 52482"/>
                        </a:avLst>
                      </a:prstGeom>
                      <a:solidFill>
                        <a:srgbClr val="c0504d"/>
                      </a:solidFill>
                      <a:ln>
                        <a:noFill/>
                      </a:ln>
                    </wps:spPr>
                    <wps:txbx id="4097">
                      <w:txbxContent>
                        <w:p w14:paraId="0E5B7C32">
                          <w:pPr>
                            <w:pStyle w:val="style32"/>
                            <w:numPr>
                              <w:ilvl w:val="0"/>
                              <w:numId w:val="0"/>
                            </w:numPr>
                            <w:ind w:left="284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>
                              <w:color w:val="ffffff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  <w:p w14:paraId="66B83432">
                          <w:pPr>
                            <w:pStyle w:val="style0"/>
                            <w:rPr/>
                          </w:pPr>
                        </w:p>
                      </w:txbxContent>
                    </wps:txbx>
                    <wps:bodyPr lIns="91440" rIns="9144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4097" type="#_x0000_t13" adj="13609,5370," fillcolor="#c0504d" stroked="f" style="position:absolute;margin-left:0.0pt;margin-top:0.0pt;width:45.75pt;height:32.25pt;z-index:2;mso-position-horizontal:center;mso-position-vertical:top;mso-position-horizontal-relative:right-margin-area;mso-position-vertical-relative:margin;mso-width-percent:0;mso-height-percent:0;mso-width-relative:page;mso-height-relative:bottom-margin-area;mso-wrap-distance-left:0.0pt;mso-wrap-distance-right:0.0pt;visibility:visible;rotation:-11796480fd;" o:allowincell="false">
              <v:stroke on="f"/>
              <v:fill/>
              <v:textbox inset="7.2pt,0.0pt,7.2pt,0.0pt">
                <w:txbxContent>
                  <w:p w14:paraId="0E5B7C32">
                    <w:pPr>
                      <w:pStyle w:val="style32"/>
                      <w:numPr>
                        <w:ilvl w:val="0"/>
                        <w:numId w:val="0"/>
                      </w:numPr>
                      <w:ind w:left="284"/>
                      <w:jc w:val="center"/>
                      <w:rPr>
                        <w:color w:val="ffffff"/>
                      </w:rPr>
                    </w:pPr>
                    <w:r>
                      <w:rPr/>
                      <w:fldChar w:fldCharType="begin"/>
                    </w:r>
                    <w:r>
                      <w:instrText>PAGE   \* MERGEFORMAT</w:instrText>
                    </w:r>
                    <w:r>
                      <w:rPr/>
                      <w:fldChar w:fldCharType="separate"/>
                    </w:r>
                    <w:r>
                      <w:rPr>
                        <w:color w:val="ffffff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  <w:p w14:paraId="66B83432">
                    <w:pPr>
                      <w:pStyle w:val="style0"/>
                      <w:rPr/>
                    </w:pPr>
                  </w:p>
                </w:txbxContent>
              </v:textbox>
            </v:shape>
          </w:pict>
        </mc:Fallback>
      </mc:AlternateContent>
    </w:r>
    <w:r>
      <w:rPr>
        <w:rFonts w:cs="Times New Roman"/>
      </w:rPr>
      <w:t>Prise de note en salle de Zone</w:t>
    </w: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82B0D8D">
    <w:pPr>
      <w:pStyle w:val="style31"/>
      <w:pBdr>
        <w:bottom w:val="single" w:sz="4" w:space="31" w:color="auto"/>
      </w:pBdr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9D0B058"/>
    <w:lvl w:ilvl="0">
      <w:start w:val="1"/>
      <w:numFmt w:val="upperRoman"/>
      <w:pStyle w:val="styl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styl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styl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styl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styl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styl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style9"/>
      <w:lvlText w:val="(%9)"/>
      <w:lvlJc w:val="left"/>
      <w:pPr>
        <w:ind w:left="5760" w:firstLine="0"/>
      </w:pPr>
      <w:rPr>
        <w:rFonts w:hint="default"/>
      </w:rPr>
    </w:lvl>
  </w:abstractNum>
  <w:abstractNum w:abstractNumId="1">
    <w:nsid w:val="00000001"/>
    <w:multiLevelType w:val="hybridMultilevel"/>
    <w:tmpl w:val="908E1CA4"/>
    <w:lvl w:ilvl="0" w:tplc="DA2C631A">
      <w:start w:val="1"/>
      <w:numFmt w:val="lowerRoman"/>
      <w:pStyle w:val="styl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0000002"/>
    <w:multiLevelType w:val="multilevel"/>
    <w:tmpl w:val="030E7600"/>
    <w:lvl w:ilvl="0">
      <w:start w:val="1"/>
      <w:numFmt w:val="bullet"/>
      <w:pStyle w:val="style0"/>
      <w:lvlText w:val=""/>
      <w:lvlJc w:val="left"/>
      <w:pPr>
        <w:ind w:left="567" w:hanging="283"/>
      </w:pPr>
      <w:rPr>
        <w:rFonts w:ascii="Symbol" w:hAnsi="Symbol" w:hint="default"/>
        <w:b w:val="false"/>
        <w:i w:val="false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cs="Times New Roman" w:hAnsi="Times New Roman" w:hint="default"/>
        <w:b w:val="false"/>
        <w:i w:val="false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="Calibri" w:hint="default"/>
        <w:b/>
        <w:color w:val="0563c1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9"/>
  </w:num>
  <w:num w:numId="16">
    <w:abstractNumId w:val="10"/>
  </w:num>
  <w:num w:numId="17">
    <w:abstractNumId w:val="11"/>
  </w:num>
  <w:num w:numId="18">
    <w:abstractNumId w:val="12"/>
  </w:num>
  <w:num w:numId="19">
    <w:abstractNumId w:val="13"/>
  </w:num>
  <w:num w:numId="20">
    <w:abstractNumId w:val="14"/>
  </w:num>
  <w:num w:numId="21">
    <w:abstractNumId w:val="15"/>
  </w:num>
  <w:num w:numId="22">
    <w:abstractNumId w:val="16"/>
  </w:num>
  <w:num w:numId="23">
    <w:abstractNumId w:val="17"/>
  </w:num>
  <w:num w:numId="24">
    <w:abstractNumId w:val="18"/>
  </w:num>
  <w:num w:numId="25">
    <w:abstractNumId w:val="19"/>
  </w:num>
  <w:num w:numId="26">
    <w:abstractNumId w:val="20"/>
  </w:num>
  <w:num w:numId="27">
    <w:abstractNumId w:val="21"/>
  </w:num>
  <w:num w:numId="28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220"/>
  <w:mirrorMargin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numPr>
        <w:ilvl w:val="0"/>
        <w:numId w:val="1"/>
      </w:numPr>
      <w:spacing w:after="0"/>
    </w:pPr>
    <w:rPr>
      <w:rFonts w:ascii="Times New Roman" w:hAnsi="Times New Roman"/>
      <w:sz w:val="20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numPr>
        <w:ilvl w:val="0"/>
        <w:numId w:val="2"/>
      </w:numPr>
      <w:spacing w:before="120" w:after="120"/>
      <w:outlineLvl w:val="0"/>
    </w:pPr>
    <w:rPr>
      <w:rFonts w:cs="宋体" w:eastAsia="宋体"/>
      <w:bCs/>
      <w:color w:val="4472c4"/>
      <w:sz w:val="26"/>
      <w:szCs w:val="28"/>
      <w:u w:val="single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cs="宋体" w:eastAsia="宋体"/>
      <w:bCs/>
      <w:color w:val="00b050"/>
      <w:sz w:val="24"/>
      <w:szCs w:val="26"/>
      <w:u w:val="single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cs="宋体" w:eastAsia="宋体"/>
      <w:bCs/>
      <w:color w:val="7030a0"/>
      <w:sz w:val="22"/>
      <w:u w:val="single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="Calibri Light" w:cs="宋体" w:eastAsia="宋体" w:hAnsi="Calibri Light"/>
      <w:bCs/>
      <w:i/>
      <w:iCs/>
      <w:color w:val="00b0f0"/>
      <w:u w:val="single"/>
    </w:rPr>
  </w:style>
  <w:style w:type="paragraph" w:styleId="style5">
    <w:name w:val="heading 5"/>
    <w:basedOn w:val="style0"/>
    <w:next w:val="style0"/>
    <w:link w:val="style4103"/>
    <w:qFormat/>
    <w:uiPriority w:val="9"/>
    <w:pPr>
      <w:keepNext/>
      <w:keepLines/>
      <w:numPr>
        <w:ilvl w:val="0"/>
        <w:numId w:val="3"/>
      </w:numPr>
      <w:spacing w:before="200"/>
      <w:outlineLvl w:val="4"/>
    </w:pPr>
    <w:rPr>
      <w:rFonts w:cs="宋体" w:eastAsia="宋体"/>
      <w:color w:val="1f3763"/>
    </w:rPr>
  </w:style>
  <w:style w:type="paragraph" w:styleId="style6">
    <w:name w:val="heading 6"/>
    <w:basedOn w:val="style0"/>
    <w:next w:val="style0"/>
    <w:link w:val="style4104"/>
    <w:qFormat/>
    <w:uiPriority w:val="9"/>
    <w:pPr>
      <w:keepNext/>
      <w:keepLines/>
      <w:spacing w:before="200"/>
      <w:outlineLvl w:val="5"/>
    </w:pPr>
    <w:rPr>
      <w:rFonts w:ascii="Calibri Light" w:cs="宋体" w:eastAsia="宋体" w:hAnsi="Calibri Light"/>
      <w:i/>
      <w:iCs/>
      <w:color w:val="002060"/>
    </w:rPr>
  </w:style>
  <w:style w:type="paragraph" w:styleId="style7">
    <w:name w:val="heading 7"/>
    <w:basedOn w:val="style0"/>
    <w:next w:val="style0"/>
    <w:link w:val="style4105"/>
    <w:qFormat/>
    <w:uiPriority w:val="9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cs="宋体" w:eastAsia="宋体" w:hAnsi="Calibri Light"/>
      <w:i/>
      <w:iCs/>
      <w:color w:val="404040"/>
    </w:rPr>
  </w:style>
  <w:style w:type="paragraph" w:styleId="style8">
    <w:name w:val="heading 8"/>
    <w:basedOn w:val="style0"/>
    <w:next w:val="style0"/>
    <w:link w:val="style4106"/>
    <w:qFormat/>
    <w:uiPriority w:val="9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cs="宋体" w:eastAsia="宋体" w:hAnsi="Calibri Light"/>
      <w:color w:val="4472c4"/>
      <w:szCs w:val="20"/>
    </w:rPr>
  </w:style>
  <w:style w:type="paragraph" w:styleId="style9">
    <w:name w:val="heading 9"/>
    <w:basedOn w:val="style0"/>
    <w:next w:val="style0"/>
    <w:link w:val="style4107"/>
    <w:qFormat/>
    <w:uiPriority w:val="9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cs="宋体" w:eastAsia="宋体" w:hAnsi="Calibri Light"/>
      <w:i/>
      <w:iCs/>
      <w:color w:val="40404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  <w:style w:type="character" w:styleId="style41">
    <w:name w:val="page number"/>
    <w:basedOn w:val="style65"/>
    <w:next w:val="style41"/>
    <w:uiPriority w:val="99"/>
  </w:style>
  <w:style w:type="character" w:customStyle="1" w:styleId="style4099">
    <w:name w:val="Titre 1 Car"/>
    <w:basedOn w:val="style65"/>
    <w:next w:val="style4099"/>
    <w:link w:val="style1"/>
    <w:uiPriority w:val="9"/>
    <w:rPr>
      <w:rFonts w:ascii="Times New Roman" w:cs="宋体" w:eastAsia="宋体" w:hAnsi="Times New Roman"/>
      <w:bCs/>
      <w:color w:val="4472c4"/>
      <w:sz w:val="26"/>
      <w:szCs w:val="28"/>
      <w:u w:val="single"/>
    </w:rPr>
  </w:style>
  <w:style w:type="character" w:customStyle="1" w:styleId="style4100">
    <w:name w:val="Titre 2 Car"/>
    <w:basedOn w:val="style65"/>
    <w:next w:val="style4100"/>
    <w:link w:val="style2"/>
    <w:uiPriority w:val="9"/>
    <w:rPr>
      <w:rFonts w:ascii="Times New Roman" w:cs="宋体" w:eastAsia="宋体" w:hAnsi="Times New Roman"/>
      <w:bCs/>
      <w:color w:val="00b050"/>
      <w:sz w:val="24"/>
      <w:szCs w:val="26"/>
      <w:u w:val="single"/>
    </w:rPr>
  </w:style>
  <w:style w:type="character" w:customStyle="1" w:styleId="style4101">
    <w:name w:val="Titre 3 Car"/>
    <w:basedOn w:val="style65"/>
    <w:next w:val="style4101"/>
    <w:link w:val="style3"/>
    <w:uiPriority w:val="9"/>
    <w:rPr>
      <w:rFonts w:ascii="Times New Roman" w:cs="宋体" w:eastAsia="宋体" w:hAnsi="Times New Roman"/>
      <w:bCs/>
      <w:color w:val="7030a0"/>
      <w:u w:val="single"/>
    </w:rPr>
  </w:style>
  <w:style w:type="character" w:customStyle="1" w:styleId="style4102">
    <w:name w:val="Titre 4 Car"/>
    <w:basedOn w:val="style65"/>
    <w:next w:val="style4102"/>
    <w:link w:val="style4"/>
    <w:uiPriority w:val="9"/>
    <w:rPr>
      <w:rFonts w:ascii="Calibri Light" w:cs="宋体" w:eastAsia="宋体" w:hAnsi="Calibri Light"/>
      <w:bCs/>
      <w:i/>
      <w:iCs/>
      <w:color w:val="00b0f0"/>
      <w:sz w:val="20"/>
      <w:u w:val="single"/>
    </w:rPr>
  </w:style>
  <w:style w:type="character" w:customStyle="1" w:styleId="style4103">
    <w:name w:val="Titre 5 Car"/>
    <w:basedOn w:val="style65"/>
    <w:next w:val="style4103"/>
    <w:link w:val="style5"/>
    <w:uiPriority w:val="9"/>
    <w:rPr>
      <w:rFonts w:ascii="Times New Roman" w:cs="宋体" w:eastAsia="宋体" w:hAnsi="Times New Roman"/>
      <w:color w:val="1f3763"/>
      <w:sz w:val="20"/>
    </w:rPr>
  </w:style>
  <w:style w:type="character" w:customStyle="1" w:styleId="style4104">
    <w:name w:val="Titre 6 Car"/>
    <w:basedOn w:val="style65"/>
    <w:next w:val="style4104"/>
    <w:link w:val="style6"/>
    <w:uiPriority w:val="9"/>
    <w:rPr>
      <w:rFonts w:ascii="Calibri Light" w:cs="宋体" w:eastAsia="宋体" w:hAnsi="Calibri Light"/>
      <w:i/>
      <w:iCs/>
      <w:color w:val="002060"/>
      <w:sz w:val="20"/>
    </w:rPr>
  </w:style>
  <w:style w:type="character" w:customStyle="1" w:styleId="style4105">
    <w:name w:val="Titre 7 Car"/>
    <w:basedOn w:val="style65"/>
    <w:next w:val="style4105"/>
    <w:link w:val="style7"/>
    <w:uiPriority w:val="9"/>
    <w:rPr>
      <w:rFonts w:ascii="Calibri Light" w:cs="宋体" w:eastAsia="宋体" w:hAnsi="Calibri Light"/>
      <w:i/>
      <w:iCs/>
      <w:color w:val="404040"/>
    </w:rPr>
  </w:style>
  <w:style w:type="character" w:customStyle="1" w:styleId="style4106">
    <w:name w:val="Titre 8 Car"/>
    <w:basedOn w:val="style65"/>
    <w:next w:val="style4106"/>
    <w:link w:val="style8"/>
    <w:uiPriority w:val="9"/>
    <w:rPr>
      <w:rFonts w:ascii="Calibri Light" w:cs="宋体" w:eastAsia="宋体" w:hAnsi="Calibri Light"/>
      <w:color w:val="4472c4"/>
      <w:sz w:val="20"/>
      <w:szCs w:val="20"/>
    </w:rPr>
  </w:style>
  <w:style w:type="character" w:customStyle="1" w:styleId="style4107">
    <w:name w:val="Titre 9 Car"/>
    <w:basedOn w:val="style65"/>
    <w:next w:val="style4107"/>
    <w:link w:val="style9"/>
    <w:uiPriority w:val="9"/>
    <w:rPr>
      <w:rFonts w:ascii="Calibri Light" w:cs="宋体" w:eastAsia="宋体" w:hAnsi="Calibri Light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472c4"/>
      <w:sz w:val="18"/>
      <w:szCs w:val="18"/>
    </w:rPr>
  </w:style>
  <w:style w:type="paragraph" w:styleId="style62">
    <w:name w:val="Title"/>
    <w:basedOn w:val="style0"/>
    <w:next w:val="style0"/>
    <w:link w:val="style4108"/>
    <w:qFormat/>
    <w:uiPriority w:val="10"/>
    <w:pPr>
      <w:numPr>
        <w:ilvl w:val="0"/>
        <w:numId w:val="0"/>
      </w:numPr>
      <w:pBdr>
        <w:left w:val="dashSmallGap" w:sz="4" w:space="4" w:color="4472c4"/>
        <w:right w:val="dashSmallGap" w:sz="4" w:space="4" w:color="4472c4"/>
        <w:top w:val="dashSmallGap" w:sz="4" w:space="1" w:color="4472c4"/>
        <w:bottom w:val="single" w:sz="8" w:space="4" w:color="4472c4"/>
      </w:pBdr>
      <w:spacing w:lineRule="auto" w:line="240"/>
      <w:jc w:val="center"/>
      <w:contextualSpacing/>
    </w:pPr>
    <w:rPr>
      <w:rFonts w:cs="宋体" w:eastAsia="宋体"/>
      <w:color w:val="ff0000"/>
      <w:spacing w:val="5"/>
      <w:sz w:val="28"/>
      <w:szCs w:val="52"/>
    </w:rPr>
  </w:style>
  <w:style w:type="character" w:customStyle="1" w:styleId="style4108">
    <w:name w:val="Titre Car"/>
    <w:basedOn w:val="style65"/>
    <w:next w:val="style4108"/>
    <w:link w:val="style62"/>
    <w:uiPriority w:val="10"/>
    <w:rPr>
      <w:rFonts w:ascii="Times New Roman" w:cs="宋体" w:eastAsia="宋体" w:hAnsi="Times New Roman"/>
      <w:color w:val="ff0000"/>
      <w:spacing w:val="5"/>
      <w:sz w:val="28"/>
      <w:szCs w:val="52"/>
    </w:rPr>
  </w:style>
  <w:style w:type="paragraph" w:styleId="style74">
    <w:name w:val="Subtitle"/>
    <w:basedOn w:val="style0"/>
    <w:next w:val="style0"/>
    <w:link w:val="style4109"/>
    <w:qFormat/>
    <w:uiPriority w:val="11"/>
    <w:pPr>
      <w:numPr>
        <w:ilvl w:val="1"/>
        <w:numId w:val="0"/>
      </w:numPr>
    </w:pPr>
    <w:rPr>
      <w:rFonts w:ascii="Calibri Light" w:cs="宋体" w:eastAsia="宋体" w:hAnsi="Calibri Light"/>
      <w:i/>
      <w:iCs/>
      <w:color w:val="4472c4"/>
      <w:spacing w:val="15"/>
      <w:sz w:val="24"/>
      <w:szCs w:val="24"/>
    </w:rPr>
  </w:style>
  <w:style w:type="character" w:customStyle="1" w:styleId="style4109">
    <w:name w:val="Sous-titre Car"/>
    <w:basedOn w:val="style65"/>
    <w:next w:val="style4109"/>
    <w:link w:val="style74"/>
    <w:uiPriority w:val="11"/>
    <w:rPr>
      <w:rFonts w:ascii="Calibri Light" w:cs="宋体" w:eastAsia="宋体" w:hAnsi="Calibri Light"/>
      <w:i/>
      <w:iCs/>
      <w:color w:val="4472c4"/>
      <w:spacing w:val="15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80">
    <w:name w:val="Quote"/>
    <w:basedOn w:val="style0"/>
    <w:next w:val="style0"/>
    <w:link w:val="style4110"/>
    <w:qFormat/>
    <w:uiPriority w:val="29"/>
    <w:pPr/>
    <w:rPr>
      <w:i/>
      <w:iCs/>
      <w:color w:val="000000"/>
    </w:rPr>
  </w:style>
  <w:style w:type="character" w:customStyle="1" w:styleId="style4110">
    <w:name w:val="Citation Car"/>
    <w:basedOn w:val="style65"/>
    <w:next w:val="style4110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4111"/>
    <w:qFormat/>
    <w:uiPriority w:val="30"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style4111">
    <w:name w:val="Citation intense Car"/>
    <w:basedOn w:val="style65"/>
    <w:next w:val="style4111"/>
    <w:link w:val="style181"/>
    <w:uiPriority w:val="30"/>
    <w:rPr>
      <w:b/>
      <w:bCs/>
      <w:i/>
      <w:iCs/>
      <w:color w:val="4472c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472c4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d7d31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ed7d31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20">
    <w:name w:val="toc 2"/>
    <w:basedOn w:val="style0"/>
    <w:next w:val="style0"/>
    <w:uiPriority w:val="39"/>
    <w:pPr>
      <w:ind w:left="200"/>
    </w:pPr>
    <w:rPr>
      <w:rFonts w:ascii="Calibri" w:cs="Calibri" w:hAnsi="Calibri"/>
      <w:smallCaps/>
      <w:szCs w:val="20"/>
    </w:rPr>
  </w:style>
  <w:style w:type="paragraph" w:styleId="style19">
    <w:name w:val="toc 1"/>
    <w:basedOn w:val="style0"/>
    <w:next w:val="style0"/>
    <w:uiPriority w:val="39"/>
    <w:pPr>
      <w:spacing w:before="120" w:after="120"/>
      <w:ind w:left="0"/>
    </w:pPr>
    <w:rPr>
      <w:rFonts w:ascii="Calibri" w:cs="Calibri" w:hAnsi="Calibri"/>
      <w:b/>
      <w:bCs/>
      <w:caps/>
      <w:szCs w:val="20"/>
    </w:rPr>
  </w:style>
  <w:style w:type="paragraph" w:styleId="style21">
    <w:name w:val="toc 3"/>
    <w:basedOn w:val="style0"/>
    <w:next w:val="style0"/>
    <w:uiPriority w:val="39"/>
    <w:pPr>
      <w:ind w:left="400"/>
    </w:pPr>
    <w:rPr>
      <w:rFonts w:ascii="Calibri" w:cs="Calibri" w:hAnsi="Calibri"/>
      <w:i/>
      <w:iCs/>
      <w:szCs w:val="20"/>
    </w:rPr>
  </w:style>
  <w:style w:type="paragraph" w:styleId="style22">
    <w:name w:val="toc 4"/>
    <w:basedOn w:val="style0"/>
    <w:next w:val="style0"/>
    <w:uiPriority w:val="39"/>
    <w:pPr>
      <w:ind w:left="600"/>
    </w:pPr>
    <w:rPr>
      <w:rFonts w:ascii="Calibri" w:cs="Calibri" w:hAnsi="Calibri"/>
      <w:sz w:val="18"/>
      <w:szCs w:val="18"/>
    </w:rPr>
  </w:style>
  <w:style w:type="paragraph" w:styleId="style23">
    <w:name w:val="toc 5"/>
    <w:basedOn w:val="style0"/>
    <w:next w:val="style0"/>
    <w:uiPriority w:val="39"/>
    <w:pPr>
      <w:ind w:left="800"/>
    </w:pPr>
    <w:rPr>
      <w:rFonts w:ascii="Calibri" w:cs="Calibri" w:hAnsi="Calibri"/>
      <w:sz w:val="18"/>
      <w:szCs w:val="18"/>
    </w:rPr>
  </w:style>
  <w:style w:type="paragraph" w:styleId="style24">
    <w:name w:val="toc 6"/>
    <w:basedOn w:val="style0"/>
    <w:next w:val="style0"/>
    <w:uiPriority w:val="39"/>
    <w:pPr>
      <w:ind w:left="1000"/>
    </w:pPr>
    <w:rPr>
      <w:rFonts w:ascii="Calibri" w:cs="Calibri" w:hAnsi="Calibri"/>
      <w:sz w:val="18"/>
      <w:szCs w:val="18"/>
    </w:rPr>
  </w:style>
  <w:style w:type="paragraph" w:styleId="style25">
    <w:name w:val="toc 7"/>
    <w:basedOn w:val="style0"/>
    <w:next w:val="style0"/>
    <w:uiPriority w:val="39"/>
    <w:pPr>
      <w:ind w:left="1200"/>
    </w:pPr>
    <w:rPr>
      <w:rFonts w:ascii="Calibri" w:cs="Calibri" w:hAnsi="Calibri"/>
      <w:sz w:val="18"/>
      <w:szCs w:val="18"/>
    </w:rPr>
  </w:style>
  <w:style w:type="paragraph" w:styleId="style26">
    <w:name w:val="toc 8"/>
    <w:basedOn w:val="style0"/>
    <w:next w:val="style0"/>
    <w:uiPriority w:val="39"/>
    <w:pPr>
      <w:ind w:left="1400"/>
    </w:pPr>
    <w:rPr>
      <w:rFonts w:ascii="Calibri" w:cs="Calibri" w:hAnsi="Calibri"/>
      <w:sz w:val="18"/>
      <w:szCs w:val="18"/>
    </w:rPr>
  </w:style>
  <w:style w:type="paragraph" w:styleId="style27">
    <w:name w:val="toc 9"/>
    <w:basedOn w:val="style0"/>
    <w:next w:val="style0"/>
    <w:uiPriority w:val="39"/>
    <w:pPr>
      <w:ind w:left="1600"/>
    </w:pPr>
    <w:rPr>
      <w:rFonts w:ascii="Calibri" w:cs="Calibri" w:hAnsi="Calibri"/>
      <w:sz w:val="18"/>
      <w:szCs w:val="18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29">
    <w:name w:val="footnote text"/>
    <w:basedOn w:val="style0"/>
    <w:next w:val="style29"/>
    <w:link w:val="style4112"/>
    <w:uiPriority w:val="99"/>
    <w:pPr>
      <w:spacing w:lineRule="auto" w:line="240"/>
    </w:pPr>
    <w:rPr>
      <w:szCs w:val="20"/>
    </w:rPr>
  </w:style>
  <w:style w:type="character" w:customStyle="1" w:styleId="style4112">
    <w:name w:val="Note de bas de page Car"/>
    <w:basedOn w:val="style65"/>
    <w:next w:val="style4112"/>
    <w:link w:val="style29"/>
    <w:uiPriority w:val="99"/>
    <w:rPr>
      <w:rFonts w:ascii="Times New Roman" w:hAnsi="Times New Roman"/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43">
    <w:name w:val="endnote text"/>
    <w:basedOn w:val="style0"/>
    <w:next w:val="style43"/>
    <w:link w:val="style4113"/>
    <w:uiPriority w:val="99"/>
    <w:pPr>
      <w:spacing w:lineRule="auto" w:line="240"/>
    </w:pPr>
    <w:rPr>
      <w:szCs w:val="20"/>
    </w:rPr>
  </w:style>
  <w:style w:type="character" w:customStyle="1" w:styleId="style4113">
    <w:name w:val="Note de fin Car"/>
    <w:basedOn w:val="style65"/>
    <w:next w:val="style4113"/>
    <w:link w:val="style43"/>
    <w:uiPriority w:val="99"/>
    <w:rPr>
      <w:rFonts w:ascii="Times New Roman" w:hAnsi="Times New Roman"/>
      <w:sz w:val="20"/>
      <w:szCs w:val="20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header" Target="head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14E1E-A901-4EFF-9F33-9831D9000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Words>770</Words>
  <Pages>1</Pages>
  <Characters>5194</Characters>
  <Application>WPS Office</Application>
  <DocSecurity>0</DocSecurity>
  <Paragraphs>196</Paragraphs>
  <ScaleCrop>false</ScaleCrop>
  <LinksUpToDate>false</LinksUpToDate>
  <CharactersWithSpaces>5819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2026-07-28T11:51:04Z</dcterms:created>
  <dc:creator>pc</dc:creator>
  <lastModifiedBy>Tab 11 SE</lastModifiedBy>
  <dcterms:modified xsi:type="dcterms:W3CDTF">2026-07-28T12:58:03Z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956a2dd2da1c4773a21bb893d58cc04b_23</vt:lpwstr>
  </property>
</Properties>
</file>