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E4939" w14:textId="57D9EF20" w:rsidR="000205AA" w:rsidRPr="00316B93" w:rsidRDefault="001F0D07" w:rsidP="00DE333A">
      <w:pPr>
        <w:pStyle w:val="Titre1"/>
        <w:rPr>
          <w:lang w:val="fr-FR"/>
        </w:rPr>
      </w:pPr>
      <w:r w:rsidRPr="00316B93">
        <w:rPr>
          <w:lang w:val="fr-FR"/>
        </w:rPr>
        <w:t>EXAMEN OPHTALMOLOGIQUE CHEZ</w:t>
      </w:r>
      <w:r w:rsidR="002F2674">
        <w:rPr>
          <w:lang w:val="fr-FR"/>
        </w:rPr>
        <w:t xml:space="preserve"> </w:t>
      </w:r>
      <w:r w:rsidRPr="00316B93">
        <w:rPr>
          <w:lang w:val="fr-FR"/>
        </w:rPr>
        <w:t>L’ENFANT</w:t>
      </w:r>
    </w:p>
    <w:p w14:paraId="57BBDB9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RANDRIANARISOA </w:t>
      </w:r>
      <w:proofErr w:type="spellStart"/>
      <w:r w:rsidRPr="00316B93">
        <w:rPr>
          <w:lang w:val="fr-FR"/>
        </w:rPr>
        <w:t>Hoby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Lalaina</w:t>
      </w:r>
      <w:proofErr w:type="spellEnd"/>
    </w:p>
    <w:p w14:paraId="5CE4C996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MATURATION DU SYSTEME VISUELLE :</w:t>
      </w:r>
    </w:p>
    <w:p w14:paraId="5016582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Maturation anatomique :</w:t>
      </w:r>
    </w:p>
    <w:p w14:paraId="043FE5A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6 mois : corps genouillé latéral</w:t>
      </w:r>
    </w:p>
    <w:p w14:paraId="2258D35D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4 ans : rétine, photorécepteurs, cellules ganglionnaires</w:t>
      </w:r>
    </w:p>
    <w:p w14:paraId="44B15F04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Jusqu’à 11 ans : cortex visuel</w:t>
      </w:r>
    </w:p>
    <w:p w14:paraId="3208E632" w14:textId="79772130" w:rsidR="000205AA" w:rsidRPr="00316B93" w:rsidRDefault="001F0D07" w:rsidP="008A5F92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 En conséquence, la période sensible de la plasticité cérébrale dure </w:t>
      </w:r>
      <w:r w:rsidRPr="00316B93">
        <w:rPr>
          <w:lang w:val="fr-FR"/>
        </w:rPr>
        <w:t>jusqu’à 11 ans, avec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un risque d’amblyopie</w:t>
      </w:r>
    </w:p>
    <w:p w14:paraId="1A73CF1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Maturation physiologique :</w:t>
      </w:r>
    </w:p>
    <w:p w14:paraId="67DBED9B" w14:textId="77777777" w:rsidR="000205AA" w:rsidRPr="00316B93" w:rsidRDefault="001F0D07" w:rsidP="008A5F92">
      <w:pPr>
        <w:spacing w:after="0"/>
        <w:ind w:left="720"/>
        <w:rPr>
          <w:lang w:val="fr-FR"/>
        </w:rPr>
      </w:pPr>
      <w:r w:rsidRPr="00316B93">
        <w:rPr>
          <w:lang w:val="fr-FR"/>
        </w:rPr>
        <w:t> En relation avec la maturation anatomique</w:t>
      </w:r>
    </w:p>
    <w:p w14:paraId="7B374E1D" w14:textId="77777777" w:rsidR="000205AA" w:rsidRPr="00316B93" w:rsidRDefault="001F0D07" w:rsidP="008A5F92">
      <w:pPr>
        <w:spacing w:after="0"/>
        <w:ind w:left="720"/>
        <w:rPr>
          <w:lang w:val="fr-FR"/>
        </w:rPr>
      </w:pPr>
      <w:r w:rsidRPr="00316B93">
        <w:rPr>
          <w:lang w:val="fr-FR"/>
        </w:rPr>
        <w:t> Affinement et spécialisation progressive des fonctions visuelles</w:t>
      </w:r>
    </w:p>
    <w:p w14:paraId="13BCA39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Maturation psychologique : en relation avec l’expérience visuelle</w:t>
      </w:r>
    </w:p>
    <w:p w14:paraId="744972DC" w14:textId="14BE16A2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Méc</w:t>
      </w:r>
      <w:r w:rsidRPr="00316B93">
        <w:rPr>
          <w:lang w:val="fr-FR"/>
        </w:rPr>
        <w:t>anisme de l’amblyopie d’origine corticale : absence de stimulus visuel entraîne des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modifications corticales anatomiques (</w:t>
      </w:r>
      <w:proofErr w:type="gramStart"/>
      <w:r w:rsidRPr="00316B93">
        <w:rPr>
          <w:lang w:val="fr-FR"/>
        </w:rPr>
        <w:t>au dépens de</w:t>
      </w:r>
      <w:proofErr w:type="gramEnd"/>
      <w:r w:rsidRPr="00316B93">
        <w:rPr>
          <w:lang w:val="fr-FR"/>
        </w:rPr>
        <w:t xml:space="preserve"> l’œil occlus, et au bénéfice de l’œil non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occlus)</w:t>
      </w:r>
    </w:p>
    <w:p w14:paraId="40C8486D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DEVELOPPEMENT VISUEL DE L’ENFANT :</w:t>
      </w:r>
    </w:p>
    <w:p w14:paraId="5E8F5AB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Naissance :</w:t>
      </w:r>
    </w:p>
    <w:p w14:paraId="3C98AFAB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Réaction à une lumiè</w:t>
      </w:r>
      <w:r w:rsidRPr="00316B93">
        <w:rPr>
          <w:lang w:val="fr-FR"/>
        </w:rPr>
        <w:t>re vive</w:t>
      </w:r>
    </w:p>
    <w:p w14:paraId="4898170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RPM présent</w:t>
      </w:r>
    </w:p>
    <w:p w14:paraId="0DB739B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 mois :</w:t>
      </w:r>
    </w:p>
    <w:p w14:paraId="492DC55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Fixation et poursuite à la lumière vive</w:t>
      </w:r>
    </w:p>
    <w:p w14:paraId="339E98FB" w14:textId="7D04ECFD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Puis, fixation d’un visage à une faible distance de 20 à 50 cm et le bébé commence à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suivre du regard</w:t>
      </w:r>
    </w:p>
    <w:p w14:paraId="665FA24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- 3 – 4 mois :</w:t>
      </w:r>
    </w:p>
    <w:p w14:paraId="7DE1A0D5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Réflexe de fusion et de coordination binoculaire</w:t>
      </w:r>
    </w:p>
    <w:p w14:paraId="53E4152C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Il </w:t>
      </w:r>
      <w:r w:rsidRPr="00316B93">
        <w:rPr>
          <w:lang w:val="fr-FR"/>
        </w:rPr>
        <w:t>commence à visualiser les couleurs : rouge +++</w:t>
      </w:r>
    </w:p>
    <w:p w14:paraId="40D177BD" w14:textId="683AB151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- 5 mois : coordination du reflexe œil-tête-main :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« il attrape des objets »</w:t>
      </w:r>
    </w:p>
    <w:p w14:paraId="3EEB618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- 6 mois :</w:t>
      </w:r>
    </w:p>
    <w:p w14:paraId="67087584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Vision stéréoscopique</w:t>
      </w:r>
    </w:p>
    <w:p w14:paraId="4A91391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Convergence et la poursuite oculaires sont normales</w:t>
      </w:r>
    </w:p>
    <w:p w14:paraId="404930E1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Acuité visuelle = 2/10ème</w:t>
      </w:r>
    </w:p>
    <w:p w14:paraId="52E500A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 an : acuité</w:t>
      </w:r>
      <w:r w:rsidRPr="00316B93">
        <w:rPr>
          <w:lang w:val="fr-FR"/>
        </w:rPr>
        <w:t xml:space="preserve"> visuelle atteint 4/10ème</w:t>
      </w:r>
    </w:p>
    <w:p w14:paraId="3657DDF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- 3 ans : acuité visuelle = 7/10ème</w:t>
      </w:r>
    </w:p>
    <w:p w14:paraId="63EC176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- 5 ans à 6 ans : acuité visuelle est de 10/10ème</w:t>
      </w:r>
    </w:p>
    <w:p w14:paraId="734A210E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FACTEURS DE RISQUES D’UN DEVELOPPEMENT VISUEL ANORMAL :</w:t>
      </w:r>
    </w:p>
    <w:p w14:paraId="7DE30C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personnels :</w:t>
      </w:r>
    </w:p>
    <w:p w14:paraId="0A53F839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Prématurité :</w:t>
      </w:r>
    </w:p>
    <w:p w14:paraId="52664DCA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Réanimation néonatale +++</w:t>
      </w:r>
    </w:p>
    <w:p w14:paraId="39C3293B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Poids de naissa</w:t>
      </w:r>
      <w:r w:rsidRPr="00316B93">
        <w:rPr>
          <w:lang w:val="fr-FR"/>
        </w:rPr>
        <w:t>nce &lt; 1.500 g</w:t>
      </w:r>
    </w:p>
    <w:p w14:paraId="0F119706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Surdité</w:t>
      </w:r>
    </w:p>
    <w:p w14:paraId="30DB8BC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Troubles </w:t>
      </w:r>
      <w:proofErr w:type="spellStart"/>
      <w:r w:rsidRPr="00316B93">
        <w:rPr>
          <w:lang w:val="fr-FR"/>
        </w:rPr>
        <w:t>neuro-moteurs</w:t>
      </w:r>
      <w:proofErr w:type="spellEnd"/>
      <w:r w:rsidRPr="00316B93">
        <w:rPr>
          <w:lang w:val="fr-FR"/>
        </w:rPr>
        <w:t>, infirmité motrice et cérébrale (IMC)</w:t>
      </w:r>
    </w:p>
    <w:p w14:paraId="718F5ABD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Anomalies chromosomiques (trisomie 21)</w:t>
      </w:r>
    </w:p>
    <w:p w14:paraId="2398FCF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Crâniosténoses, dysostoses crânio-faciales</w:t>
      </w:r>
    </w:p>
    <w:p w14:paraId="3F2E91B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Embryofoetopathies</w:t>
      </w:r>
      <w:proofErr w:type="spellEnd"/>
      <w:r w:rsidRPr="00316B93">
        <w:rPr>
          <w:lang w:val="fr-FR"/>
        </w:rPr>
        <w:t xml:space="preserve"> : toxoplasmose, rubéoles, cytomégalovirus, herpès </w:t>
      </w:r>
      <w:r w:rsidRPr="00316B93">
        <w:rPr>
          <w:lang w:val="fr-FR"/>
        </w:rPr>
        <w:t>(</w:t>
      </w:r>
      <w:proofErr w:type="spellStart"/>
      <w:r w:rsidRPr="00316B93">
        <w:rPr>
          <w:lang w:val="fr-FR"/>
        </w:rPr>
        <w:t>ToRCH</w:t>
      </w:r>
      <w:proofErr w:type="spellEnd"/>
      <w:r w:rsidRPr="00316B93">
        <w:rPr>
          <w:lang w:val="fr-FR"/>
        </w:rPr>
        <w:t>)</w:t>
      </w:r>
    </w:p>
    <w:p w14:paraId="7897D89D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Exposition in utero à la cocaïne et l’alcool</w:t>
      </w:r>
    </w:p>
    <w:p w14:paraId="7820DF1B" w14:textId="7B777914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familiaux :</w:t>
      </w:r>
    </w:p>
    <w:p w14:paraId="201C113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Strabisme</w:t>
      </w:r>
    </w:p>
    <w:p w14:paraId="6FCC1402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Troubles sévères de la réfraction (myopie, astigmatisme)</w:t>
      </w:r>
    </w:p>
    <w:p w14:paraId="03288C1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Amblyopie</w:t>
      </w:r>
    </w:p>
    <w:p w14:paraId="4591F4B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ophtalmologique héréditaire : cataracte congénitale, glaucome,…</w:t>
      </w:r>
    </w:p>
    <w:p w14:paraId="0B64EA98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 xml:space="preserve">TEST ET </w:t>
      </w:r>
      <w:r w:rsidRPr="00316B93">
        <w:rPr>
          <w:lang w:val="fr-FR"/>
        </w:rPr>
        <w:t>MESURE DE L’ACUITE VISUELLE :</w:t>
      </w:r>
    </w:p>
    <w:p w14:paraId="46B6CCB8" w14:textId="394ACF9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Acuité par la méthode du regard préférentiel du « bébé vision</w:t>
      </w:r>
      <w:proofErr w:type="gramStart"/>
      <w:r w:rsidRPr="00316B93">
        <w:rPr>
          <w:lang w:val="fr-FR"/>
        </w:rPr>
        <w:t xml:space="preserve"> »(</w:t>
      </w:r>
      <w:proofErr w:type="gramEnd"/>
      <w:r w:rsidRPr="00316B93">
        <w:rPr>
          <w:lang w:val="fr-FR"/>
        </w:rPr>
        <w:t xml:space="preserve">en âge </w:t>
      </w:r>
      <w:proofErr w:type="spellStart"/>
      <w:r w:rsidRPr="00316B93">
        <w:rPr>
          <w:lang w:val="fr-FR"/>
        </w:rPr>
        <w:t>pré-verbal</w:t>
      </w:r>
      <w:proofErr w:type="spellEnd"/>
      <w:r w:rsidRPr="00316B93">
        <w:rPr>
          <w:lang w:val="fr-FR"/>
        </w:rPr>
        <w:t xml:space="preserve"> : 6 – 18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mois) :</w:t>
      </w:r>
    </w:p>
    <w:p w14:paraId="6DD89797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Ce n’est pas un test vrai d’acuité visuelle</w:t>
      </w:r>
    </w:p>
    <w:p w14:paraId="293C7983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Principe : sur un fond homogène, le regard de l’enfant est attiré par des sti</w:t>
      </w:r>
      <w:r w:rsidRPr="00316B93">
        <w:rPr>
          <w:lang w:val="fr-FR"/>
        </w:rPr>
        <w:t>muli</w:t>
      </w:r>
    </w:p>
    <w:p w14:paraId="100E6199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structurés</w:t>
      </w:r>
      <w:proofErr w:type="gramEnd"/>
      <w:r w:rsidRPr="00316B93">
        <w:rPr>
          <w:lang w:val="fr-FR"/>
        </w:rPr>
        <w:t xml:space="preserve"> dont on fait varier la résolution</w:t>
      </w:r>
    </w:p>
    <w:p w14:paraId="12C2D73E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Intérêts : comparer les résultats des deux yeux afin de dépister une amblyopie</w:t>
      </w:r>
    </w:p>
    <w:p w14:paraId="57C822E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Test d’acuité visuel pour l’enfant en âge verbal (à partir de 18 mois) :</w:t>
      </w:r>
    </w:p>
    <w:p w14:paraId="33EF559A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Utilisation des images familières (test de </w:t>
      </w:r>
      <w:proofErr w:type="spellStart"/>
      <w:r w:rsidRPr="00316B93">
        <w:rPr>
          <w:lang w:val="fr-FR"/>
        </w:rPr>
        <w:t>Rossa</w:t>
      </w:r>
      <w:r w:rsidRPr="00316B93">
        <w:rPr>
          <w:lang w:val="fr-FR"/>
        </w:rPr>
        <w:t>no</w:t>
      </w:r>
      <w:proofErr w:type="spellEnd"/>
      <w:r w:rsidRPr="00316B93">
        <w:rPr>
          <w:lang w:val="fr-FR"/>
        </w:rPr>
        <w:t xml:space="preserve">, de </w:t>
      </w:r>
      <w:proofErr w:type="spellStart"/>
      <w:r w:rsidRPr="00316B93">
        <w:rPr>
          <w:lang w:val="fr-FR"/>
        </w:rPr>
        <w:t>Pigassou</w:t>
      </w:r>
      <w:proofErr w:type="spellEnd"/>
      <w:r w:rsidRPr="00316B93">
        <w:rPr>
          <w:lang w:val="fr-FR"/>
        </w:rPr>
        <w:t>)</w:t>
      </w:r>
    </w:p>
    <w:p w14:paraId="2EF7135E" w14:textId="75B8DC62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 coopération est indispensable et doit être stimulé par une approche sous forme de jeu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incluant les parents</w:t>
      </w:r>
    </w:p>
    <w:p w14:paraId="57AEC46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Puis tests d’acuité visuelles identiques aux adultes (à partir de 5 ans) :</w:t>
      </w:r>
    </w:p>
    <w:p w14:paraId="66B199A7" w14:textId="77777777" w:rsidR="000205AA" w:rsidRPr="00316B93" w:rsidRDefault="001F0D07" w:rsidP="008A5F92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Chiffres, lettres dès que l’enfant peut coopérer</w:t>
      </w:r>
    </w:p>
    <w:p w14:paraId="46608DA2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SIGNES DE MALVOYANCE GRAVE CHEZ UN NOURRISSON +++ :</w:t>
      </w:r>
    </w:p>
    <w:p w14:paraId="0126644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Errance du regard</w:t>
      </w:r>
    </w:p>
    <w:p w14:paraId="38E0FAB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Nystagmus bilatéral</w:t>
      </w:r>
    </w:p>
    <w:p w14:paraId="29FFF86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Signe de </w:t>
      </w:r>
      <w:proofErr w:type="spellStart"/>
      <w:r w:rsidRPr="00316B93">
        <w:rPr>
          <w:lang w:val="fr-FR"/>
        </w:rPr>
        <w:t>Franceschetti</w:t>
      </w:r>
      <w:proofErr w:type="spellEnd"/>
      <w:r w:rsidRPr="00316B93">
        <w:rPr>
          <w:lang w:val="fr-FR"/>
        </w:rPr>
        <w:t xml:space="preserve"> : « réflexe </w:t>
      </w:r>
      <w:proofErr w:type="spellStart"/>
      <w:r w:rsidRPr="00316B93">
        <w:rPr>
          <w:lang w:val="fr-FR"/>
        </w:rPr>
        <w:t>digito</w:t>
      </w:r>
      <w:proofErr w:type="spellEnd"/>
      <w:r w:rsidRPr="00316B93">
        <w:rPr>
          <w:lang w:val="fr-FR"/>
        </w:rPr>
        <w:t>-oculaire »</w:t>
      </w:r>
    </w:p>
    <w:p w14:paraId="4DA82A71" w14:textId="6FE4C6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Signe de l’éventail : le petit enfant se passe le mains devant les yeux pour se faire alterner</w:t>
      </w:r>
      <w:proofErr w:type="gramStart"/>
      <w:r w:rsidRPr="00316B93">
        <w:rPr>
          <w:lang w:val="fr-FR"/>
        </w:rPr>
        <w:t xml:space="preserve"> «</w:t>
      </w:r>
      <w:r w:rsidRPr="00316B93">
        <w:rPr>
          <w:lang w:val="fr-FR"/>
        </w:rPr>
        <w:t>jour</w:t>
      </w:r>
      <w:proofErr w:type="gramEnd"/>
      <w:r w:rsidR="008A5F92">
        <w:rPr>
          <w:lang w:val="fr-FR"/>
        </w:rPr>
        <w:t xml:space="preserve"> </w:t>
      </w:r>
      <w:r w:rsidRPr="00316B93">
        <w:rPr>
          <w:lang w:val="fr-FR"/>
        </w:rPr>
        <w:t>– nuit »</w:t>
      </w:r>
    </w:p>
    <w:p w14:paraId="47711CF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Strabisme : perte de parallélisme de l’axe visuel</w:t>
      </w:r>
    </w:p>
    <w:p w14:paraId="59705F5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Tout strabisme constant depuis l’âge de 6 mois est pathologique (divergent +++)</w:t>
      </w:r>
    </w:p>
    <w:p w14:paraId="47061D8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Leucocorie</w:t>
      </w:r>
      <w:proofErr w:type="spellEnd"/>
      <w:r w:rsidRPr="00316B93">
        <w:rPr>
          <w:lang w:val="fr-FR"/>
        </w:rPr>
        <w:t xml:space="preserve"> ou pupille blanche : cataracte congénitale, rétinoblastome</w:t>
      </w:r>
    </w:p>
    <w:p w14:paraId="50A812E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Malformation palpébrale et /ou des</w:t>
      </w:r>
      <w:r w:rsidRPr="00316B93">
        <w:rPr>
          <w:lang w:val="fr-FR"/>
        </w:rPr>
        <w:t xml:space="preserve"> annexes</w:t>
      </w:r>
    </w:p>
    <w:p w14:paraId="5AEAAEC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Anomalie de la cornée (microphtalmie, </w:t>
      </w:r>
      <w:proofErr w:type="spellStart"/>
      <w:r w:rsidRPr="00316B93">
        <w:rPr>
          <w:lang w:val="fr-FR"/>
        </w:rPr>
        <w:t>mégalocornée</w:t>
      </w:r>
      <w:proofErr w:type="spellEnd"/>
      <w:r w:rsidRPr="00316B93">
        <w:rPr>
          <w:lang w:val="fr-FR"/>
        </w:rPr>
        <w:t xml:space="preserve"> du glaucome congénital, opacité)</w:t>
      </w:r>
    </w:p>
    <w:p w14:paraId="35B33DBC" w14:textId="044C049C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Anomalie de l’iris et de la pupille : colobome (amputation congénitale de l’iris) ou </w:t>
      </w:r>
      <w:proofErr w:type="spellStart"/>
      <w:r w:rsidRPr="00316B93">
        <w:rPr>
          <w:lang w:val="fr-FR"/>
        </w:rPr>
        <w:t>aniridie</w:t>
      </w:r>
      <w:proofErr w:type="spellEnd"/>
      <w:r w:rsidRPr="00316B93">
        <w:rPr>
          <w:lang w:val="fr-FR"/>
        </w:rPr>
        <w:t>,</w:t>
      </w:r>
      <w:r w:rsidR="008A5F92">
        <w:rPr>
          <w:lang w:val="fr-FR"/>
        </w:rPr>
        <w:t xml:space="preserve"> </w:t>
      </w:r>
      <w:proofErr w:type="gramStart"/>
      <w:r w:rsidRPr="00316B93">
        <w:rPr>
          <w:lang w:val="fr-FR"/>
        </w:rPr>
        <w:t>ectopie,…</w:t>
      </w:r>
      <w:proofErr w:type="gramEnd"/>
    </w:p>
    <w:p w14:paraId="385438B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Colobome </w:t>
      </w:r>
      <w:proofErr w:type="spellStart"/>
      <w:r w:rsidRPr="00316B93">
        <w:rPr>
          <w:lang w:val="fr-FR"/>
        </w:rPr>
        <w:t>chorio</w:t>
      </w:r>
      <w:proofErr w:type="spellEnd"/>
      <w:r w:rsidRPr="00316B93">
        <w:rPr>
          <w:lang w:val="fr-FR"/>
        </w:rPr>
        <w:t>-rétinien, cicatrices rétiniennes…</w:t>
      </w:r>
    </w:p>
    <w:p w14:paraId="340C585C" w14:textId="4BA0D8CC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Infection maternelles transmises aux fœtus (transplacentaires, lors du passage par la filière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génitale) : toxoplasmose congénitale, conjonctivite gonococcique…</w:t>
      </w:r>
    </w:p>
    <w:p w14:paraId="58A6993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Maladie des enfants secoués ou battus (présence d’hémorragies rétiniennes)</w:t>
      </w:r>
    </w:p>
    <w:p w14:paraId="0A518E8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Rétinopathies des</w:t>
      </w:r>
      <w:r w:rsidRPr="00316B93">
        <w:rPr>
          <w:lang w:val="fr-FR"/>
        </w:rPr>
        <w:t xml:space="preserve"> prématurés…</w:t>
      </w:r>
    </w:p>
    <w:p w14:paraId="75D4C06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Autres causes organiques (rétinoblastomes, gliome du nerf optique…)</w:t>
      </w:r>
    </w:p>
    <w:p w14:paraId="7DE7266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PEC multidisciplinaire : pédiatre, MG, anapath, …</w:t>
      </w:r>
    </w:p>
    <w:p w14:paraId="27BA4E83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3162B78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L’indifférence visuelle ou désintérêt peut correspondre à un simple retard de maturation ou à </w:t>
      </w:r>
      <w:proofErr w:type="gramStart"/>
      <w:r w:rsidRPr="00316B93">
        <w:rPr>
          <w:lang w:val="fr-FR"/>
        </w:rPr>
        <w:t>une</w:t>
      </w:r>
      <w:proofErr w:type="gramEnd"/>
    </w:p>
    <w:p w14:paraId="3326A761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cécité</w:t>
      </w:r>
      <w:proofErr w:type="gramEnd"/>
      <w:r w:rsidRPr="00316B93">
        <w:rPr>
          <w:lang w:val="fr-FR"/>
        </w:rPr>
        <w:t xml:space="preserve"> c</w:t>
      </w:r>
      <w:r w:rsidRPr="00316B93">
        <w:rPr>
          <w:lang w:val="fr-FR"/>
        </w:rPr>
        <w:t>ongénitale organique</w:t>
      </w:r>
    </w:p>
    <w:p w14:paraId="6CF0141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- 15 – 20% des enfants &lt; 6 ans présentent une anomalie visuelle : dépistage indispensable +++</w:t>
      </w:r>
    </w:p>
    <w:p w14:paraId="73A175FA" w14:textId="35FC62D5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Entre 9 – 12mois : troubles visuels par un examen de la réfraction sous </w:t>
      </w:r>
      <w:proofErr w:type="spellStart"/>
      <w:r w:rsidRPr="00316B93">
        <w:rPr>
          <w:lang w:val="fr-FR"/>
        </w:rPr>
        <w:t>cycloplégique</w:t>
      </w:r>
      <w:proofErr w:type="spellEnd"/>
      <w:r w:rsidR="008A5F92">
        <w:rPr>
          <w:lang w:val="fr-FR"/>
        </w:rPr>
        <w:t xml:space="preserve"> </w:t>
      </w:r>
      <w:r w:rsidRPr="00316B93">
        <w:rPr>
          <w:lang w:val="fr-FR"/>
        </w:rPr>
        <w:t>et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 xml:space="preserve">examen du fond d’œil : amétropies, </w:t>
      </w:r>
      <w:r w:rsidRPr="00316B93">
        <w:rPr>
          <w:lang w:val="fr-FR"/>
        </w:rPr>
        <w:t>strabisme, permet de diminuer le risque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d’amblyopie</w:t>
      </w:r>
    </w:p>
    <w:p w14:paraId="1437F1F5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Avant l’âge de 2 mois : traitement optimal de la cataracte congénitale</w:t>
      </w:r>
    </w:p>
    <w:p w14:paraId="4149FA7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Autres causes organiques (rétinoblastome, gliome du nerf optique…)</w:t>
      </w:r>
    </w:p>
    <w:p w14:paraId="7B633712" w14:textId="75521B19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Prise en charge pluridisciplinaire : </w:t>
      </w:r>
      <w:r w:rsidRPr="00316B93">
        <w:rPr>
          <w:lang w:val="fr-FR"/>
        </w:rPr>
        <w:t xml:space="preserve">ophtalmologiste, médecin généraliste, pédiatre, </w:t>
      </w:r>
      <w:proofErr w:type="spellStart"/>
      <w:r w:rsidRPr="00316B93">
        <w:rPr>
          <w:lang w:val="fr-FR"/>
        </w:rPr>
        <w:t>anatomo</w:t>
      </w:r>
      <w:proofErr w:type="spellEnd"/>
      <w:r w:rsidR="008A5F92">
        <w:rPr>
          <w:lang w:val="fr-FR"/>
        </w:rPr>
        <w:t xml:space="preserve"> </w:t>
      </w:r>
      <w:r w:rsidRPr="00316B93">
        <w:rPr>
          <w:lang w:val="fr-FR"/>
        </w:rPr>
        <w:t>pathologiste</w:t>
      </w:r>
    </w:p>
    <w:p w14:paraId="6E4B7DE0" w14:textId="474B3AC7" w:rsidR="000205AA" w:rsidRDefault="000205AA" w:rsidP="00316B93">
      <w:pPr>
        <w:spacing w:after="0"/>
        <w:rPr>
          <w:lang w:val="fr-FR"/>
        </w:rPr>
      </w:pPr>
    </w:p>
    <w:p w14:paraId="2C1AC879" w14:textId="1A899E2E" w:rsidR="008A5F92" w:rsidRDefault="008A5F92" w:rsidP="00316B93">
      <w:pPr>
        <w:spacing w:after="0"/>
        <w:rPr>
          <w:lang w:val="fr-FR"/>
        </w:rPr>
      </w:pPr>
    </w:p>
    <w:p w14:paraId="2C86047B" w14:textId="2C66BE3F" w:rsidR="008A5F92" w:rsidRDefault="008A5F92" w:rsidP="00316B93">
      <w:pPr>
        <w:spacing w:after="0"/>
        <w:rPr>
          <w:lang w:val="fr-FR"/>
        </w:rPr>
      </w:pPr>
    </w:p>
    <w:p w14:paraId="7C9D4F60" w14:textId="39FB0392" w:rsidR="008A5F92" w:rsidRDefault="008A5F92" w:rsidP="00316B93">
      <w:pPr>
        <w:spacing w:after="0"/>
        <w:rPr>
          <w:lang w:val="fr-FR"/>
        </w:rPr>
      </w:pPr>
    </w:p>
    <w:p w14:paraId="6DC4CEE1" w14:textId="32417B96" w:rsidR="008A5F92" w:rsidRDefault="008A5F92" w:rsidP="00316B93">
      <w:pPr>
        <w:spacing w:after="0"/>
        <w:rPr>
          <w:lang w:val="fr-FR"/>
        </w:rPr>
      </w:pPr>
    </w:p>
    <w:p w14:paraId="152EE80F" w14:textId="77777777" w:rsidR="008A5F92" w:rsidRPr="00316B93" w:rsidRDefault="008A5F92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