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892E" w14:textId="17204532" w:rsidR="000205AA" w:rsidRPr="00316B93" w:rsidRDefault="000205AA" w:rsidP="00316B93">
      <w:pPr>
        <w:spacing w:after="0"/>
        <w:rPr>
          <w:lang w:val="fr-FR"/>
        </w:rPr>
      </w:pPr>
    </w:p>
    <w:p w14:paraId="5563B347" w14:textId="4AF37C96" w:rsidR="000205AA" w:rsidRPr="00316B93" w:rsidRDefault="001F0D07" w:rsidP="00316B93">
      <w:pPr>
        <w:pStyle w:val="Titre1"/>
        <w:spacing w:before="0"/>
        <w:ind w:left="0"/>
        <w:rPr>
          <w:lang w:val="fr-FR"/>
        </w:rPr>
      </w:pPr>
      <w:r w:rsidRPr="00316B93">
        <w:rPr>
          <w:lang w:val="fr-FR"/>
        </w:rPr>
        <w:t>GLAUCOME AIGU PAR FERMETURE DE</w:t>
      </w:r>
      <w:r w:rsidR="002F2674">
        <w:rPr>
          <w:lang w:val="fr-FR"/>
        </w:rPr>
        <w:t xml:space="preserve"> </w:t>
      </w:r>
      <w:r w:rsidRPr="00316B93">
        <w:rPr>
          <w:lang w:val="fr-FR"/>
        </w:rPr>
        <w:t>L'ANGLE</w:t>
      </w:r>
    </w:p>
    <w:p w14:paraId="6CE1929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Dr RANDRIANARISOA Hoby</w:t>
      </w:r>
    </w:p>
    <w:p w14:paraId="24C0B47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Pr Léa RAOBELA</w:t>
      </w:r>
    </w:p>
    <w:p w14:paraId="0FD839BC" w14:textId="77777777" w:rsidR="000205AA" w:rsidRPr="00316B93" w:rsidRDefault="001F0D07" w:rsidP="00316B93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752BA87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C'est une maladie biométrique oculaire, potentiellement cécitante, sans traitement</w:t>
      </w:r>
    </w:p>
    <w:p w14:paraId="26EB3F9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Grave, urgence</w:t>
      </w:r>
    </w:p>
    <w:p w14:paraId="29F353A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Hospitalisation</w:t>
      </w:r>
    </w:p>
    <w:p w14:paraId="76DD18A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Terrain : Hypermétrope, femme cinquantaine, stressé</w:t>
      </w:r>
    </w:p>
    <w:p w14:paraId="1B081A4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AIC (angle irido-cornéen) étroit, CA (chambre antérieure) aplatie, ½ mydriase</w:t>
      </w:r>
    </w:p>
    <w:p w14:paraId="20E524FC" w14:textId="77777777" w:rsidR="000205AA" w:rsidRPr="00316B93" w:rsidRDefault="001F0D07" w:rsidP="00316B93">
      <w:pPr>
        <w:pStyle w:val="Titre1"/>
        <w:rPr>
          <w:lang w:val="fr-FR"/>
        </w:rPr>
      </w:pPr>
      <w:r w:rsidRPr="00316B93">
        <w:rPr>
          <w:lang w:val="fr-FR"/>
        </w:rPr>
        <w:t>SIGNES :</w:t>
      </w:r>
    </w:p>
    <w:p w14:paraId="11C88F72" w14:textId="77777777" w:rsidR="000205AA" w:rsidRPr="00316B93" w:rsidRDefault="001F0D07" w:rsidP="00316B93">
      <w:pPr>
        <w:pStyle w:val="Titre2"/>
        <w:rPr>
          <w:lang w:val="fr-FR"/>
        </w:rPr>
      </w:pPr>
      <w:r w:rsidRPr="00316B93">
        <w:rPr>
          <w:lang w:val="fr-FR"/>
        </w:rPr>
        <w:t>Signes fonctionnels :</w:t>
      </w:r>
    </w:p>
    <w:p w14:paraId="5633CF3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Douleurs oculaires et périorbitaires violentes, irradié vers la région hémi crânienne</w:t>
      </w:r>
    </w:p>
    <w:p w14:paraId="1CA18A2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Photophobie, larmoiement</w:t>
      </w:r>
    </w:p>
    <w:p w14:paraId="7C3D1EA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Acuité visuelle effondré</w:t>
      </w:r>
    </w:p>
    <w:p w14:paraId="4FCEDB5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digestifs : nausées, vomissement</w:t>
      </w:r>
    </w:p>
    <w:p w14:paraId="4DC27D30" w14:textId="77777777" w:rsidR="000205AA" w:rsidRPr="00316B93" w:rsidRDefault="001F0D07" w:rsidP="00316B93">
      <w:pPr>
        <w:pStyle w:val="Titre2"/>
        <w:rPr>
          <w:lang w:val="fr-FR"/>
        </w:rPr>
      </w:pPr>
      <w:r w:rsidRPr="00316B93">
        <w:rPr>
          <w:lang w:val="fr-FR"/>
        </w:rPr>
        <w:t>Signes physiques :</w:t>
      </w:r>
    </w:p>
    <w:p w14:paraId="394984B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Cercle péri-kératique</w:t>
      </w:r>
    </w:p>
    <w:p w14:paraId="54741D2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Œdème de cornée </w:t>
      </w:r>
      <w:r w:rsidRPr="00316B93">
        <w:rPr>
          <w:lang w:val="fr-FR"/>
        </w:rPr>
        <w:t> opaque, œil glauque</w:t>
      </w:r>
    </w:p>
    <w:p w14:paraId="058ED9A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 aplatie ou étroite</w:t>
      </w:r>
    </w:p>
    <w:p w14:paraId="5441956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Pupille en sémi-mydriase aréflectique</w:t>
      </w:r>
    </w:p>
    <w:p w14:paraId="730D0B7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Œil dur, bille de verre à la palpation bi-digitale (palper bi-digital permet de mesurer la pression</w:t>
      </w:r>
    </w:p>
    <w:p w14:paraId="567DFB3F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intraoculaire</w:t>
      </w:r>
      <w:proofErr w:type="gramEnd"/>
      <w:r w:rsidRPr="00316B93">
        <w:rPr>
          <w:lang w:val="fr-FR"/>
        </w:rPr>
        <w:t xml:space="preserve"> de manière subjective)</w:t>
      </w:r>
    </w:p>
    <w:p w14:paraId="3A1C751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PIO (pression intraoculaire) élevée jusqu’à 60 mmHg</w:t>
      </w:r>
    </w:p>
    <w:p w14:paraId="70C46E4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AIC étroit au gonioscope</w:t>
      </w:r>
    </w:p>
    <w:p w14:paraId="3AC6CCB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Examen de l’œil adelphe +++</w:t>
      </w:r>
    </w:p>
    <w:p w14:paraId="77A77FBC" w14:textId="77777777" w:rsidR="000205AA" w:rsidRPr="00316B93" w:rsidRDefault="001F0D07" w:rsidP="00316B93">
      <w:pPr>
        <w:pStyle w:val="Titre2"/>
        <w:rPr>
          <w:lang w:val="fr-FR"/>
        </w:rPr>
      </w:pPr>
      <w:r w:rsidRPr="00316B93">
        <w:rPr>
          <w:lang w:val="fr-FR"/>
        </w:rPr>
        <w:t>DIAGNOSTIC :</w:t>
      </w:r>
    </w:p>
    <w:p w14:paraId="6FDC3C8A" w14:textId="77777777" w:rsidR="000205AA" w:rsidRPr="00316B93" w:rsidRDefault="001F0D07" w:rsidP="00316B93">
      <w:pPr>
        <w:pStyle w:val="Titre2"/>
        <w:rPr>
          <w:lang w:val="fr-FR"/>
        </w:rPr>
      </w:pPr>
      <w:r w:rsidRPr="00316B93">
        <w:rPr>
          <w:lang w:val="fr-FR"/>
        </w:rPr>
        <w:t>Diagnostic positif est clinique +++</w:t>
      </w:r>
    </w:p>
    <w:p w14:paraId="6F0B740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Examen ophtalmologique :</w:t>
      </w:r>
    </w:p>
    <w:p w14:paraId="256F91DB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Interrogatoire</w:t>
      </w:r>
    </w:p>
    <w:p w14:paraId="443B3987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Mesure de l’acuité visuelle</w:t>
      </w:r>
    </w:p>
    <w:p w14:paraId="2F1AC803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Examen à la lampe à fente</w:t>
      </w:r>
    </w:p>
    <w:p w14:paraId="3177D802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Mesure de la tension oculaire</w:t>
      </w:r>
    </w:p>
    <w:p w14:paraId="5DA6920D" w14:textId="77777777" w:rsidR="000205AA" w:rsidRPr="00316B93" w:rsidRDefault="001F0D07" w:rsidP="00316B93">
      <w:pPr>
        <w:pStyle w:val="Titre2"/>
        <w:rPr>
          <w:lang w:val="fr-FR"/>
        </w:rPr>
      </w:pPr>
      <w:r w:rsidRPr="00316B93">
        <w:rPr>
          <w:lang w:val="fr-FR"/>
        </w:rPr>
        <w:t>Diagnostic différentiel :</w:t>
      </w:r>
    </w:p>
    <w:p w14:paraId="5A3DE7F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Œil rouge douloureux + BAV : kératite aiguë, uvéite antérieure aiguë</w:t>
      </w:r>
    </w:p>
    <w:p w14:paraId="2D0A4A92" w14:textId="58B21573" w:rsidR="000205AA" w:rsidRPr="00316B93" w:rsidRDefault="001F0D07" w:rsidP="00316B93">
      <w:pPr>
        <w:pStyle w:val="Titre1"/>
        <w:rPr>
          <w:lang w:val="fr-FR"/>
        </w:rPr>
      </w:pPr>
      <w:r w:rsidRPr="00316B93">
        <w:rPr>
          <w:lang w:val="fr-FR"/>
        </w:rPr>
        <w:lastRenderedPageBreak/>
        <w:t>CONDUITE À TENIR DEVANT UN GAFA :</w:t>
      </w:r>
    </w:p>
    <w:p w14:paraId="49E797D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Hospitalisation en urgence</w:t>
      </w:r>
    </w:p>
    <w:p w14:paraId="54B9FAAF" w14:textId="77777777" w:rsidR="000205AA" w:rsidRPr="00316B93" w:rsidRDefault="001F0D07" w:rsidP="00316B93">
      <w:pPr>
        <w:pStyle w:val="Titre2"/>
        <w:rPr>
          <w:lang w:val="fr-FR"/>
        </w:rPr>
      </w:pPr>
      <w:r w:rsidRPr="00316B93">
        <w:rPr>
          <w:lang w:val="fr-FR"/>
        </w:rPr>
        <w:t>Objectifs du traitement :</w:t>
      </w:r>
    </w:p>
    <w:p w14:paraId="7DD3000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Baisser la PIO</w:t>
      </w:r>
    </w:p>
    <w:p w14:paraId="22B4574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Restaurer la vision</w:t>
      </w:r>
    </w:p>
    <w:p w14:paraId="7B84C65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Calmer la douleur du patient</w:t>
      </w:r>
    </w:p>
    <w:p w14:paraId="2FBA9E86" w14:textId="77777777" w:rsidR="000205AA" w:rsidRPr="00316B93" w:rsidRDefault="001F0D07" w:rsidP="00316B93">
      <w:pPr>
        <w:pStyle w:val="Titre2"/>
        <w:rPr>
          <w:lang w:val="fr-FR"/>
        </w:rPr>
      </w:pPr>
      <w:r w:rsidRPr="00316B93">
        <w:rPr>
          <w:lang w:val="fr-FR"/>
        </w:rPr>
        <w:t>Traitement du GAFA :</w:t>
      </w:r>
    </w:p>
    <w:p w14:paraId="2560521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Traitement médical par voie général hypotonisant :</w:t>
      </w:r>
    </w:p>
    <w:p w14:paraId="7B3B482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Mannitol 250 en IV en 20 min en absence de contre-indications (IC, IR)</w:t>
      </w:r>
    </w:p>
    <w:p w14:paraId="2C4ADDC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Sinon Glycérotone 1g/kg</w:t>
      </w:r>
    </w:p>
    <w:p w14:paraId="4F2BC3C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Ou Diamox injectable 1 ampoule de 500 mg en IV (10 mg/kg en IVD)</w:t>
      </w:r>
    </w:p>
    <w:p w14:paraId="5D02C65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Seul ou en relais après Mannitol</w:t>
      </w:r>
    </w:p>
    <w:p w14:paraId="4E7FED04" w14:textId="77777777" w:rsidR="000205AA" w:rsidRPr="00316B93" w:rsidRDefault="001F0D07" w:rsidP="00316B93">
      <w:pPr>
        <w:pStyle w:val="Titre3"/>
        <w:rPr>
          <w:lang w:val="fr-FR"/>
        </w:rPr>
      </w:pPr>
      <w:r w:rsidRPr="00316B93">
        <w:rPr>
          <w:lang w:val="fr-FR"/>
        </w:rPr>
        <w:t>1. Si PIO baisse :</w:t>
      </w:r>
    </w:p>
    <w:p w14:paraId="1CB4A47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Pilocarpine 1% :</w:t>
      </w:r>
    </w:p>
    <w:p w14:paraId="5917612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1 goutte/15min jusqu’à l’obtention de myosis puis 1 x 3/j</w:t>
      </w:r>
    </w:p>
    <w:p w14:paraId="70F6AD7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Relais Diamox per os 250 mg</w:t>
      </w:r>
    </w:p>
    <w:p w14:paraId="4268C28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1 cp x 3/j</w:t>
      </w:r>
    </w:p>
    <w:p w14:paraId="47FCC130" w14:textId="77777777" w:rsidR="000205AA" w:rsidRPr="00316B93" w:rsidRDefault="001F0D07" w:rsidP="00316B93">
      <w:pPr>
        <w:pStyle w:val="Titre3"/>
        <w:rPr>
          <w:lang w:val="fr-FR"/>
        </w:rPr>
      </w:pPr>
      <w:r w:rsidRPr="00316B93">
        <w:rPr>
          <w:lang w:val="fr-FR"/>
        </w:rPr>
        <w:t>2. Si au bout de 30 mn, pas de diminution :</w:t>
      </w:r>
    </w:p>
    <w:p w14:paraId="468C351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Refaire :</w:t>
      </w:r>
    </w:p>
    <w:p w14:paraId="0BDD875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Agent hyper osmotique</w:t>
      </w:r>
    </w:p>
    <w:p w14:paraId="4C9E52E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Mannitol 250 cc en IV pendant 20 min</w:t>
      </w:r>
    </w:p>
    <w:p w14:paraId="70E00FA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+ Surveillance Diurèse, pouls, TA, FR</w:t>
      </w:r>
    </w:p>
    <w:p w14:paraId="5EC59DC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Contrôle de la PIO après 30 minutes</w:t>
      </w:r>
    </w:p>
    <w:p w14:paraId="5E4213E3" w14:textId="77777777" w:rsidR="000205AA" w:rsidRPr="00316B93" w:rsidRDefault="001F0D07" w:rsidP="00316B93">
      <w:pPr>
        <w:pStyle w:val="Titre2"/>
        <w:rPr>
          <w:lang w:val="fr-FR"/>
        </w:rPr>
      </w:pPr>
      <w:r w:rsidRPr="00316B93">
        <w:rPr>
          <w:lang w:val="fr-FR"/>
        </w:rPr>
        <w:t>Iridotomie au laser YAG :</w:t>
      </w:r>
    </w:p>
    <w:p w14:paraId="2801C1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Ou iridectomie périphérique chirurgicale</w:t>
      </w:r>
    </w:p>
    <w:p w14:paraId="6662B9D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Dès la diminution de la pression oculaire et que la transparence de la cornée le permet</w:t>
      </w:r>
    </w:p>
    <w:p w14:paraId="748120E8" w14:textId="77777777" w:rsidR="000205AA" w:rsidRPr="00316B93" w:rsidRDefault="001F0D07" w:rsidP="00316B93">
      <w:pPr>
        <w:pStyle w:val="Titre2"/>
        <w:rPr>
          <w:lang w:val="fr-FR"/>
        </w:rPr>
      </w:pPr>
      <w:r w:rsidRPr="00316B93">
        <w:rPr>
          <w:lang w:val="fr-FR"/>
        </w:rPr>
        <w:t>Traitement général :</w:t>
      </w:r>
    </w:p>
    <w:p w14:paraId="18D86B6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Antalgique, Perfalgan IV</w:t>
      </w:r>
    </w:p>
    <w:p w14:paraId="419C2EE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Anxiolytique</w:t>
      </w:r>
    </w:p>
    <w:p w14:paraId="1FBFEC0C" w14:textId="77777777" w:rsidR="000205AA" w:rsidRPr="00316B93" w:rsidRDefault="001F0D07" w:rsidP="00316B93">
      <w:pPr>
        <w:pStyle w:val="Titre2"/>
        <w:rPr>
          <w:lang w:val="fr-FR"/>
        </w:rPr>
      </w:pPr>
      <w:r w:rsidRPr="00316B93">
        <w:rPr>
          <w:lang w:val="fr-FR"/>
        </w:rPr>
        <w:t>Traitement d l’œil adelphe :</w:t>
      </w:r>
    </w:p>
    <w:p w14:paraId="20CF4E9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Pilocarpine 1% 1 goutte x 3/j</w:t>
      </w:r>
    </w:p>
    <w:p w14:paraId="112246A2" w14:textId="1E99B370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Iridotomie au laser 1 semaine</w:t>
      </w:r>
    </w:p>
    <w:p w14:paraId="6AFC68A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Dans tous les cas contre-indication absolue de collyre mydriatique sauf après iridotomie </w:t>
      </w:r>
      <w:proofErr w:type="gramStart"/>
      <w:r w:rsidRPr="00316B93">
        <w:rPr>
          <w:lang w:val="fr-FR"/>
        </w:rPr>
        <w:t>ou</w:t>
      </w:r>
      <w:proofErr w:type="gramEnd"/>
    </w:p>
    <w:p w14:paraId="190FE5DF" w14:textId="758D2E32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iridectomie</w:t>
      </w:r>
      <w:proofErr w:type="gramEnd"/>
      <w:r w:rsidRPr="00316B93">
        <w:rPr>
          <w:lang w:val="fr-FR"/>
        </w:rPr>
        <w:t xml:space="preserve"> efficace</w:t>
      </w:r>
      <w:r w:rsidRPr="00316B93">
        <w:rPr>
          <w:lang w:val="fr-FR"/>
        </w:rPr>
        <w:br w:type="page"/>
      </w:r>
    </w:p>
    <w:sectPr w:rsidR="000205AA" w:rsidRPr="00316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CC5795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14</cp:revision>
  <dcterms:created xsi:type="dcterms:W3CDTF">2013-12-23T23:15:00Z</dcterms:created>
  <dcterms:modified xsi:type="dcterms:W3CDTF">2026-09-13T01:25:00Z</dcterms:modified>
  <cp:category/>
</cp:coreProperties>
</file>