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01E4" w:rsidRPr="00872EA0" w:rsidRDefault="003E12AB" w:rsidP="00872EA0">
      <w:pPr>
        <w:pStyle w:val="Titre"/>
      </w:pPr>
      <w:r>
        <w:t xml:space="preserve">Peste : épidémiologie et méthode de lutte </w:t>
      </w:r>
    </w:p>
    <w:p w:rsidR="003E12AB" w:rsidRPr="003E12AB" w:rsidRDefault="003E12AB" w:rsidP="003E12AB">
      <w:pPr>
        <w:rPr>
          <w:color w:val="FF0000"/>
          <w:lang w:val="fr-FR"/>
        </w:rPr>
      </w:pPr>
      <w:r w:rsidRPr="003E12AB">
        <w:rPr>
          <w:color w:val="FF0000"/>
          <w:lang w:val="fr-FR"/>
        </w:rPr>
        <w:t>Objectifs</w:t>
      </w:r>
    </w:p>
    <w:p w:rsidR="003E12AB" w:rsidRDefault="003E12AB" w:rsidP="003E12AB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Schématiser les cycles de transmission</w:t>
      </w:r>
    </w:p>
    <w:p w:rsidR="003E12AB" w:rsidRDefault="003E12AB" w:rsidP="003E12AB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Décrire, sur la base de ces cycles de transmission, les prévention de la peste</w:t>
      </w:r>
    </w:p>
    <w:p w:rsidR="00872EA0" w:rsidRDefault="003E12AB" w:rsidP="003E12AB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Décrire les principes de surveillance </w:t>
      </w:r>
    </w:p>
    <w:p w:rsidR="003E12AB" w:rsidRDefault="003E12AB" w:rsidP="003E12AB">
      <w:pPr>
        <w:pStyle w:val="Titre1"/>
        <w:rPr>
          <w:lang w:val="fr-FR"/>
        </w:rPr>
      </w:pPr>
      <w:r>
        <w:rPr>
          <w:lang w:val="fr-FR"/>
        </w:rPr>
        <w:t xml:space="preserve">Introduction </w:t>
      </w:r>
    </w:p>
    <w:p w:rsidR="003E12AB" w:rsidRDefault="003E12AB" w:rsidP="003E12AB">
      <w:pPr>
        <w:pStyle w:val="Titre2"/>
        <w:rPr>
          <w:lang w:val="fr-FR"/>
        </w:rPr>
      </w:pPr>
      <w:r>
        <w:rPr>
          <w:lang w:val="fr-FR"/>
        </w:rPr>
        <w:t xml:space="preserve">Définition </w:t>
      </w:r>
    </w:p>
    <w:p w:rsidR="003E12AB" w:rsidRDefault="003E12AB" w:rsidP="003E12A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Zoonose endémique des rongeurs dans de nombreux pays, dont Madagascar</w:t>
      </w:r>
      <w:r w:rsidR="001E6274">
        <w:rPr>
          <w:lang w:val="fr-FR"/>
        </w:rPr>
        <w:t> ;</w:t>
      </w:r>
      <w:r>
        <w:rPr>
          <w:lang w:val="fr-FR"/>
        </w:rPr>
        <w:t xml:space="preserve"> agent : Yersinia pestis</w:t>
      </w:r>
    </w:p>
    <w:p w:rsidR="003E12AB" w:rsidRDefault="003E12AB" w:rsidP="003E12A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Transmise aux être humains par des piqûres des puces infectés de ces rongeurs : épidémie</w:t>
      </w:r>
    </w:p>
    <w:p w:rsidR="003E12AB" w:rsidRDefault="003E12AB" w:rsidP="003E12AB">
      <w:pPr>
        <w:pStyle w:val="Titre2"/>
        <w:rPr>
          <w:lang w:val="fr-FR"/>
        </w:rPr>
      </w:pPr>
      <w:r>
        <w:rPr>
          <w:lang w:val="fr-FR"/>
        </w:rPr>
        <w:t xml:space="preserve">Intérêts </w:t>
      </w:r>
    </w:p>
    <w:p w:rsidR="003E12AB" w:rsidRDefault="003E12AB" w:rsidP="003E12A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Maladie à potentiel endémique</w:t>
      </w:r>
    </w:p>
    <w:p w:rsidR="003E12AB" w:rsidRDefault="003E12AB" w:rsidP="003E12A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Létalité élevée en dehors du traitement</w:t>
      </w:r>
    </w:p>
    <w:p w:rsidR="003E12AB" w:rsidRDefault="003E12AB" w:rsidP="003E12A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Maladie à déclaration obligatoire</w:t>
      </w:r>
    </w:p>
    <w:p w:rsidR="003E12AB" w:rsidRDefault="003E12AB" w:rsidP="003E12AB">
      <w:pPr>
        <w:pStyle w:val="Titre2"/>
        <w:rPr>
          <w:lang w:val="fr-FR"/>
        </w:rPr>
      </w:pPr>
      <w:r>
        <w:rPr>
          <w:lang w:val="fr-FR"/>
        </w:rPr>
        <w:t xml:space="preserve">Rappel clinique </w:t>
      </w:r>
    </w:p>
    <w:p w:rsidR="003E12AB" w:rsidRDefault="003E12AB" w:rsidP="003E12A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Fièvre, frisson, céphalée et AEG avec</w:t>
      </w:r>
    </w:p>
    <w:p w:rsidR="003E12AB" w:rsidRDefault="003E12AB" w:rsidP="003E12AB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Peste bubonique (fréquente) : gonflement très douloureux des ganglions</w:t>
      </w:r>
    </w:p>
    <w:p w:rsidR="003E12AB" w:rsidRDefault="003E12AB" w:rsidP="003E12AB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Peste pulmonaire (contagieuse) : toux, expectoration teinté de sang et douleur thoracique</w:t>
      </w:r>
    </w:p>
    <w:p w:rsidR="003E12AB" w:rsidRDefault="003E12AB" w:rsidP="003E12AB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Forme septicémique (grave)</w:t>
      </w:r>
    </w:p>
    <w:p w:rsidR="003E12AB" w:rsidRDefault="003E12AB" w:rsidP="003E12AB">
      <w:pPr>
        <w:pStyle w:val="Titre2"/>
        <w:rPr>
          <w:lang w:val="fr-FR"/>
        </w:rPr>
      </w:pPr>
      <w:r>
        <w:rPr>
          <w:lang w:val="fr-FR"/>
        </w:rPr>
        <w:t>Critère de laboratoire</w:t>
      </w:r>
    </w:p>
    <w:p w:rsidR="003E12AB" w:rsidRDefault="003E12AB" w:rsidP="003E12A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Isolement par culture de Yersinia pestis (bubon ou expectoration)</w:t>
      </w:r>
    </w:p>
    <w:p w:rsidR="003E12AB" w:rsidRDefault="003E12AB" w:rsidP="003E12A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TDR par bandelette : détection de l’antigène F1</w:t>
      </w:r>
    </w:p>
    <w:p w:rsidR="003E12AB" w:rsidRDefault="003E12AB" w:rsidP="003E12AB">
      <w:pPr>
        <w:pStyle w:val="Titre2"/>
        <w:rPr>
          <w:lang w:val="fr-FR"/>
        </w:rPr>
      </w:pPr>
      <w:r>
        <w:rPr>
          <w:lang w:val="fr-FR"/>
        </w:rPr>
        <w:t xml:space="preserve">Définition des cas </w:t>
      </w:r>
    </w:p>
    <w:p w:rsidR="003E12AB" w:rsidRDefault="003E12AB" w:rsidP="003E12A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Cas suspect : compatible à la description clinique</w:t>
      </w:r>
    </w:p>
    <w:p w:rsidR="003E12AB" w:rsidRDefault="003E12AB" w:rsidP="003E12A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Cas probable : cas suspect ayant un lien épidémique avec cas confirmé</w:t>
      </w:r>
    </w:p>
    <w:p w:rsidR="003E12AB" w:rsidRDefault="003E12AB" w:rsidP="003E12A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Cas confirmé : confirmation par analyse de laboratoire</w:t>
      </w:r>
    </w:p>
    <w:p w:rsidR="003E12AB" w:rsidRDefault="003E12AB" w:rsidP="003E12AB">
      <w:pPr>
        <w:pStyle w:val="Titre1"/>
        <w:rPr>
          <w:lang w:val="fr-FR"/>
        </w:rPr>
      </w:pPr>
      <w:r>
        <w:rPr>
          <w:lang w:val="fr-FR"/>
        </w:rPr>
        <w:t xml:space="preserve">Epidémiologie </w:t>
      </w:r>
    </w:p>
    <w:p w:rsidR="003E12AB" w:rsidRDefault="003E12AB" w:rsidP="003E12AB">
      <w:pPr>
        <w:pStyle w:val="Titre2"/>
        <w:rPr>
          <w:lang w:val="fr-FR"/>
        </w:rPr>
      </w:pPr>
      <w:r>
        <w:rPr>
          <w:lang w:val="fr-FR"/>
        </w:rPr>
        <w:t xml:space="preserve">Epidémiologie descriptive </w:t>
      </w:r>
    </w:p>
    <w:p w:rsidR="003E12AB" w:rsidRDefault="00BD03D0" w:rsidP="00BD03D0">
      <w:pPr>
        <w:pStyle w:val="Titre3"/>
        <w:rPr>
          <w:lang w:val="fr-FR"/>
        </w:rPr>
      </w:pPr>
      <w:r>
        <w:rPr>
          <w:lang w:val="fr-FR"/>
        </w:rPr>
        <w:t>Niveau mondial (2010 – 2015)</w:t>
      </w:r>
    </w:p>
    <w:p w:rsidR="00BD03D0" w:rsidRDefault="00BD03D0" w:rsidP="00BD03D0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Cas déclarés 328 dont</w:t>
      </w:r>
    </w:p>
    <w:p w:rsidR="00BD03D0" w:rsidRDefault="00BD03D0" w:rsidP="00BD03D0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Madagascar : 2404 (70%)</w:t>
      </w:r>
    </w:p>
    <w:p w:rsidR="00BD03D0" w:rsidRDefault="00BD03D0" w:rsidP="00BD03D0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Létalité : 10 – 20%</w:t>
      </w:r>
    </w:p>
    <w:p w:rsidR="00BD03D0" w:rsidRDefault="00BD03D0" w:rsidP="00BD03D0">
      <w:pPr>
        <w:pStyle w:val="Titre3"/>
        <w:rPr>
          <w:lang w:val="fr-FR"/>
        </w:rPr>
      </w:pPr>
      <w:r>
        <w:rPr>
          <w:lang w:val="fr-FR"/>
        </w:rPr>
        <w:lastRenderedPageBreak/>
        <w:t xml:space="preserve">Madagascar </w:t>
      </w:r>
    </w:p>
    <w:p w:rsidR="00BD03D0" w:rsidRDefault="00BD03D0" w:rsidP="00BD03D0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Deux foyers</w:t>
      </w:r>
    </w:p>
    <w:p w:rsidR="00BD03D0" w:rsidRDefault="00BD03D0" w:rsidP="00BD03D0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Triangle principale au centre : Ambalavao, lac Alaotra et Tsiroanomandidy</w:t>
      </w:r>
    </w:p>
    <w:p w:rsidR="00BD03D0" w:rsidRDefault="00BD03D0" w:rsidP="00BD03D0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Triangle rectangle mineur au Nord : massif de Tsaratanàna</w:t>
      </w:r>
    </w:p>
    <w:p w:rsidR="00BD03D0" w:rsidRDefault="00BD03D0" w:rsidP="00BD03D0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Mais </w:t>
      </w:r>
      <w:r w:rsidR="001E6274">
        <w:rPr>
          <w:lang w:val="fr-FR"/>
        </w:rPr>
        <w:t>…</w:t>
      </w:r>
    </w:p>
    <w:p w:rsidR="00BD03D0" w:rsidRDefault="00BD03D0" w:rsidP="00BD03D0">
      <w:pPr>
        <w:pStyle w:val="Titre2"/>
        <w:rPr>
          <w:lang w:val="fr-FR"/>
        </w:rPr>
      </w:pPr>
      <w:r>
        <w:rPr>
          <w:lang w:val="fr-FR"/>
        </w:rPr>
        <w:t xml:space="preserve">Epidémiologie analytique </w:t>
      </w:r>
    </w:p>
    <w:p w:rsidR="00BD03D0" w:rsidRDefault="00FB6C7B" w:rsidP="00FB6C7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Agent pathogène : Yersinia pestis</w:t>
      </w:r>
    </w:p>
    <w:p w:rsidR="00FB6C7B" w:rsidRDefault="00FB6C7B" w:rsidP="00FB6C7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Réservoirs : rongeurs sauvages (gerbilles, mériones)</w:t>
      </w:r>
    </w:p>
    <w:p w:rsidR="00FB6C7B" w:rsidRDefault="00FB6C7B" w:rsidP="00FB6C7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Vecteurs : puce (Xénopsylla cheopis)</w:t>
      </w:r>
    </w:p>
    <w:p w:rsidR="00FB6C7B" w:rsidRDefault="00FB6C7B" w:rsidP="00FB6C7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Principaux facteurs de risques</w:t>
      </w:r>
    </w:p>
    <w:p w:rsidR="00FB6C7B" w:rsidRDefault="00FB6C7B" w:rsidP="00FB6C7B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Feux de brousse et inondation</w:t>
      </w:r>
    </w:p>
    <w:p w:rsidR="00FB6C7B" w:rsidRDefault="00FB6C7B" w:rsidP="00FB6C7B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Manque d’hygiène et d’assainissement</w:t>
      </w:r>
    </w:p>
    <w:p w:rsidR="00FB6C7B" w:rsidRDefault="00FB6C7B" w:rsidP="00FB6C7B">
      <w:pPr>
        <w:pStyle w:val="Paragraphedeliste"/>
        <w:rPr>
          <w:lang w:val="fr-FR"/>
        </w:rPr>
      </w:pPr>
      <w:r>
        <w:rPr>
          <w:rFonts w:cs="Times New Roman"/>
          <w:lang w:val="fr-FR"/>
        </w:rPr>
        <w:t>→</w:t>
      </w:r>
      <w:r>
        <w:rPr>
          <w:lang w:val="fr-FR"/>
        </w:rPr>
        <w:t xml:space="preserve"> Franchissement de barrière d’espèces</w:t>
      </w:r>
    </w:p>
    <w:p w:rsidR="003B6C30" w:rsidRPr="003B6C30" w:rsidRDefault="00FB6C7B" w:rsidP="003B6C30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Cycle de transmission</w:t>
      </w:r>
    </w:p>
    <w:p w:rsidR="00FB6C7B" w:rsidRDefault="00FB6C7B" w:rsidP="00FB6C7B">
      <w:pPr>
        <w:ind w:left="360"/>
        <w:rPr>
          <w:lang w:val="fr-FR"/>
        </w:rPr>
      </w:pPr>
    </w:p>
    <w:p w:rsidR="00FB6C7B" w:rsidRDefault="003B6C30" w:rsidP="00FB6C7B">
      <w:pPr>
        <w:ind w:left="360"/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3724733</wp:posOffset>
                </wp:positionH>
                <wp:positionV relativeFrom="paragraph">
                  <wp:posOffset>1945197</wp:posOffset>
                </wp:positionV>
                <wp:extent cx="435935" cy="212651"/>
                <wp:effectExtent l="38100" t="0" r="21590" b="54610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5935" cy="2126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0B5B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0" o:spid="_x0000_s1026" type="#_x0000_t32" style="position:absolute;margin-left:293.3pt;margin-top:153.15pt;width:34.35pt;height:16.7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/qg6AEAAAkEAAAOAAAAZHJzL2Uyb0RvYy54bWysU8mOEzEQvSPxD5bvpJMMGUGUzhwyLAcE&#10;I5YP8LjLaQtvKtdk+SP+gx+j7O40iEVCiIvlpd6req/Km5uTd+IAmG0MrVzM5lJA0LGzYd/KTx9f&#10;PnkmRSYVOuVigFaeIcub7eNHm2NawzL20XWAgklCXh9TK3uitG6arHvwKs9igsCPJqJXxEfcNx2q&#10;I7N71yzn8+vmGLFLGDXkzLe3w6PcVn5jQNM7YzKQcK3k2qiuWNf7sjbbjVrvUaXe6rEM9Q9VeGUD&#10;J52obhUp8YD2FypvNcYcDc109E00xmqoGljNYv6Tmg+9SlC1sDk5TTbl/0er3x7uUNiOe8f2BOW5&#10;R7sYAhsHDyg6jJaEOoAWxn39wl0RHMemHVNeM3YX7nA85XSHxYGTQc/BNr1mzuoJqxSnavl5shxO&#10;JDRfPr1aPb9aSaH5ablYXq8Whb0ZaApdwkyvIHpRNq3MhMruexprjDikUIc3mQbgBVDALpSVlHUv&#10;QifonFgdoVVh72DMU0Kaomaov+7o7GCAvwfD5nCdQ5o6lrBzKA6KB6r7fKnWBY4sEGOdm0DzKv+P&#10;oDG2wKCO6t8Cp+iaMQaagN6GiL/LSqdLqWaIv6getBbZ97E7125WO3jeah/Gv1EG+sdzhX//wdtv&#10;AAAA//8DAFBLAwQUAAYACAAAACEALrUg+98AAAALAQAADwAAAGRycy9kb3ducmV2LnhtbEyPTU/D&#10;MAyG70j8h8hI3FgKpVVXmk5o0o4gsXGAW9aYtNA4VZJthV+PObGbPx69ftysZjeKI4Y4eFJwu8hA&#10;IHXeDGQVvO42NxWImDQZPXpCBd8YYdVeXjS6Nv5EL3jcJis4hGKtFfQpTbWUsevR6bjwExLvPnxw&#10;OnEbrDRBnzjcjfIuy0rp9EB8odcTrnvsvrYHp+ApORvcstjcW0v5+2fcrd+ef5S6vpofH0AknNM/&#10;DH/6rA4tO+39gUwUo4KiKktGFeRZmYNgoiwKLvY8yZcVyLaR5z+0vwAAAP//AwBQSwECLQAUAAYA&#10;CAAAACEAtoM4kv4AAADhAQAAEwAAAAAAAAAAAAAAAAAAAAAAW0NvbnRlbnRfVHlwZXNdLnhtbFBL&#10;AQItABQABgAIAAAAIQA4/SH/1gAAAJQBAAALAAAAAAAAAAAAAAAAAC8BAABfcmVscy8ucmVsc1BL&#10;AQItABQABgAIAAAAIQD1t/qg6AEAAAkEAAAOAAAAAAAAAAAAAAAAAC4CAABkcnMvZTJvRG9jLnht&#10;bFBLAQItABQABgAIAAAAIQAutSD73wAAAAsBAAAPAAAAAAAAAAAAAAAAAEIEAABkcnMvZG93bnJl&#10;di54bWxQSwUGAAAAAAQABADzAAAATgUAAAAA&#10;" strokecolor="black [3040]">
                <v:stroke endarrow="block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2714640</wp:posOffset>
                </wp:positionH>
                <wp:positionV relativeFrom="paragraph">
                  <wp:posOffset>2188919</wp:posOffset>
                </wp:positionV>
                <wp:extent cx="1307804" cy="426129"/>
                <wp:effectExtent l="0" t="0" r="26035" b="1206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804" cy="4261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B6C30" w:rsidRPr="003B6C30" w:rsidRDefault="006A5C58" w:rsidP="003B6C30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Êtres</w:t>
                            </w:r>
                            <w:r w:rsidR="003B6C30">
                              <w:rPr>
                                <w:lang w:val="fr-FR"/>
                              </w:rPr>
                              <w:t xml:space="preserve"> humains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left:0;text-align:left;margin-left:213.75pt;margin-top:172.35pt;width:103pt;height:3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SoJUQIAAKYEAAAOAAAAZHJzL2Uyb0RvYy54bWysVFFv2yAQfp+0/4B4X+ykadpacaosVaZJ&#10;UVspnSrtjWBI0DDHgMTufv0O7KRpt6dpL/jgPj7uvrvz9LatNTkI5xWYkg4HOSXCcKiU2Zb029Py&#10;0zUlPjBTMQ1GlPRFeHo7+/hh2thCjGAHuhKOIInxRWNLugvBFlnm+U7UzA/ACoNOCa5mAbdum1WO&#10;Nche62yU55OsAVdZB1x4j6d3nZPOEr+UgocHKb0IRJcUYwtpdWndxDWbTVmxdczuFO/DYP8QRc2U&#10;wUdPVHcsMLJ36g+qWnEHHmQYcKgzkFJxkXLAbIb5u2zWO2ZFygXF8fYkk/9/tPz+8OiIqko6ocSw&#10;Gkv0HQtFKkGCaIMgkyhRY32ByLVFbGg/Q4ulPp57PIyZt9LV8Ys5EfSj2C8ngZGJ8HjpIr+6zseU&#10;cPSNR5Ph6CbSZK+3rfPhi4CaRKOkDguYdGWHlQ8d9AiJj3nQqloqrdMmNo1YaEcODMutQ4oRyd+g&#10;tCENZntxmSfiN75Ifbq/0Yz/6MM7QyGfNhhz1KTLPVqh3bS9UBuoXlAnB12zecuXCnlXzIdH5rC7&#10;UBqcmPCAi9SAwUBvUbID9+tv5xGPRUcvJQ12a0n9zz1zghL91WA73AzH49jeaTO+vBrhxp17Nuce&#10;s68XgAoNcTYtT2bEB300pYP6GQdrHl9FFzMc3y5pOJqL0M0QDiYX83kCYUNbFlZmbXmkjhWJej61&#10;z8zZvp6xp+7h2NeseFfWDhtvGpjvA0iVah4F7lTtdcdhSF3TD26ctvN9Qr3+Xma/AQAA//8DAFBL&#10;AwQUAAYACAAAACEAWDQXUt4AAAALAQAADwAAAGRycy9kb3ducmV2LnhtbEyPwU7DMAyG70i8Q2Qk&#10;biztWrauNJ0ADS6cGGjnrMmSiMapmqwrb485wdH+P/3+3Gxn37NJj9EFFJAvMmAau6AcGgGfHy93&#10;FbCYJCrZB9QCvnWEbXt91chahQu+62mfDKMSjLUUYFMaas5jZ7WXcREGjZSdwuhlonE0XI3yQuW+&#10;58ssW3EvHdIFKwf9bHX3tT97AbsnszFdJUe7q5Rz03w4vZlXIW5v5scHYEnP6Q+GX31Sh5acjuGM&#10;KrJeQLlc3xMqoCjLNTAiVkVBmyNFeV4Bbxv+/4f2BwAA//8DAFBLAQItABQABgAIAAAAIQC2gziS&#10;/gAAAOEBAAATAAAAAAAAAAAAAAAAAAAAAABbQ29udGVudF9UeXBlc10ueG1sUEsBAi0AFAAGAAgA&#10;AAAhADj9If/WAAAAlAEAAAsAAAAAAAAAAAAAAAAALwEAAF9yZWxzLy5yZWxzUEsBAi0AFAAGAAgA&#10;AAAhAMQxKglRAgAApgQAAA4AAAAAAAAAAAAAAAAALgIAAGRycy9lMm9Eb2MueG1sUEsBAi0AFAAG&#10;AAgAAAAhAFg0F1LeAAAACwEAAA8AAAAAAAAAAAAAAAAAqwQAAGRycy9kb3ducmV2LnhtbFBLBQYA&#10;AAAABAAEAPMAAAC2BQAAAAA=&#10;" fillcolor="white [3201]" strokeweight=".5pt">
                <v:textbox>
                  <w:txbxContent>
                    <w:p w:rsidR="003B6C30" w:rsidRPr="003B6C30" w:rsidRDefault="006A5C58" w:rsidP="003B6C30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Êtres</w:t>
                      </w:r>
                      <w:r w:rsidR="003B6C30">
                        <w:rPr>
                          <w:lang w:val="fr-FR"/>
                        </w:rPr>
                        <w:t xml:space="preserve"> humains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477904</wp:posOffset>
                </wp:positionV>
                <wp:extent cx="1010093" cy="372139"/>
                <wp:effectExtent l="0" t="0" r="19050" b="27940"/>
                <wp:wrapNone/>
                <wp:docPr id="5" name="Flèche : courbe vers le b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093" cy="372139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6D34CA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Flèche : courbe vers le bas 5" o:spid="_x0000_s1026" type="#_x0000_t105" style="position:absolute;margin-left:217.1pt;margin-top:37.65pt;width:79.55pt;height:2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MLNjwIAAEwFAAAOAAAAZHJzL2Uyb0RvYy54bWysVMFu1DAQvSPxD5bvNMm2S+mq2WrVqgip&#10;aita1LPXsZsIx2PG3s0uX8OR74AfY+xks6WUCyIHx/bMPM88v/Hp2aY1bK3QN2BLXhzknCkroWrs&#10;Y8k/3V++eceZD8JWwoBVJd8qz8/mr1+ddm6mJlCDqRQyArF+1rmS1yG4WZZ5WatW+ANwypJRA7Yi&#10;0BIfswpFR+itySZ5/jbrACuHIJX3tHvRG/k84WutZLjR2qvATMkpt5BGTOMyjtn8VMweUbi6kUMa&#10;4h+yaEVj6dAR6kIEwVbY/AHVNhLBgw4HEtoMtG6kSjVQNUX+rJq7WjiVaiFyvBtp8v8PVl6vb5E1&#10;VcmnnFnR0hVdmp/fif4f32ZMwgqXKt0vM4othWfTSFnn/Iwi79wtDitP01j/RmMb/1QZ2ySatyPN&#10;ahOYpM2CKs1PDjmTZDs8nhSHJxE020c79OG9gpbFScnlCtequoDOLhChS0SL9ZUPfdTOmyBiYn0q&#10;aRa2RsVsjP2oNFVJh09SdNKXOjfI1oKUUX0u+u1aVFRu3Jrm9A1pjd4pyQQWUXVjzIg7AETd/o7b&#10;5zj4xjCVZDkG5n9LqA8cvdOJYMMY2DYW8KVgE4ohcd3774jp6YjMLKHa0r0j9A3hnbxsiOor4cOt&#10;QOoA6hXq6nBDgzbQlRyGGWc14NeX9qM/CZOsnHXUUSX3X1YCFWfmgyXJnhRHR7EF0+JoejyhBT61&#10;LJ9a7Ko9B7qHgt4PJ9M0+gezm2qE9oGafxFPJZOwks4msQTcLc5D3+n0fEi1WCQ3ajsnwpW9czKC&#10;R1ajfu43DwLdoLdASr2GXfeJ2TOt9b4x0sJiFUA3SYh7Xge+qWWTYIbnJb4JT9fJa/8Izn8BAAD/&#10;/wMAUEsDBBQABgAIAAAAIQCvdaBl4QAAAAoBAAAPAAAAZHJzL2Rvd25yZXYueG1sTI/BTsMwDIbv&#10;SLxDZCRuLGVpYStNpwlp4jIJVrjsljVZW2ickqRb9/aYE9xs+dPv7y9Wk+3ZyfjQOZRwP0uAGayd&#10;7rCR8PG+uVsAC1GhVr1DI+FiAqzK66tC5dqdcWdOVWwYhWDIlYQ2xiHnPNStsSrM3GCQbkfnrYq0&#10;+oZrr84Ubns+T5IHblWH9KFVg3luTf1VjVbCOhu3r9/71O0r3PrN20v1me0uUt7eTOsnYNFM8Q+G&#10;X31Sh5KcDm5EHVgvIRXpnFAJj5kARkC2FDQciBRiCbws+P8K5Q8AAAD//wMAUEsBAi0AFAAGAAgA&#10;AAAhALaDOJL+AAAA4QEAABMAAAAAAAAAAAAAAAAAAAAAAFtDb250ZW50X1R5cGVzXS54bWxQSwEC&#10;LQAUAAYACAAAACEAOP0h/9YAAACUAQAACwAAAAAAAAAAAAAAAAAvAQAAX3JlbHMvLnJlbHNQSwEC&#10;LQAUAAYACAAAACEA7zTCzY8CAABMBQAADgAAAAAAAAAAAAAAAAAuAgAAZHJzL2Uyb0RvYy54bWxQ&#10;SwECLQAUAAYACAAAACEAr3WgZeEAAAAKAQAADwAAAAAAAAAAAAAAAADpBAAAZHJzL2Rvd25yZXYu&#10;eG1sUEsFBgAAAAAEAAQA8wAAAPcFAAAAAA==&#10;" adj="17621,20605,16200" fillcolor="black [3200]" strokecolor="black [1600]" strokeweight="2pt"/>
            </w:pict>
          </mc:Fallback>
        </mc:AlternateContent>
      </w:r>
      <w:r w:rsidR="00FB6C7B">
        <w:rPr>
          <w:noProof/>
          <w:lang w:val="fr-FR"/>
        </w:rPr>
        <w:drawing>
          <wp:inline distT="0" distB="0" distL="0" distR="0">
            <wp:extent cx="2891583" cy="2189790"/>
            <wp:effectExtent l="0" t="0" r="0" b="20320"/>
            <wp:docPr id="1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  <w:r w:rsidR="00FB6C7B">
        <w:rPr>
          <w:noProof/>
          <w:lang w:val="fr-FR"/>
        </w:rPr>
        <w:drawing>
          <wp:inline distT="0" distB="0" distL="0" distR="0">
            <wp:extent cx="2977116" cy="2200068"/>
            <wp:effectExtent l="0" t="0" r="0" b="0"/>
            <wp:docPr id="3" name="Diagramme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:rsidR="003B6C30" w:rsidRDefault="003B6C30" w:rsidP="00FB6C7B">
      <w:pPr>
        <w:ind w:left="360"/>
        <w:rPr>
          <w:lang w:val="fr-FR"/>
        </w:rPr>
      </w:pPr>
    </w:p>
    <w:p w:rsidR="003B6C30" w:rsidRDefault="003B6C30" w:rsidP="003B6C30">
      <w:pPr>
        <w:pStyle w:val="Titre1"/>
        <w:rPr>
          <w:lang w:val="fr-FR"/>
        </w:rPr>
      </w:pPr>
      <w:r>
        <w:rPr>
          <w:lang w:val="fr-FR"/>
        </w:rPr>
        <w:t xml:space="preserve">Méthode de lutte </w:t>
      </w:r>
    </w:p>
    <w:p w:rsidR="003B6C30" w:rsidRDefault="003B6C30" w:rsidP="003B6C30">
      <w:pPr>
        <w:pStyle w:val="Titre2"/>
        <w:rPr>
          <w:lang w:val="fr-FR"/>
        </w:rPr>
      </w:pPr>
      <w:r>
        <w:rPr>
          <w:lang w:val="fr-FR"/>
        </w:rPr>
        <w:t xml:space="preserve">Préventions </w:t>
      </w:r>
    </w:p>
    <w:p w:rsidR="003B6C30" w:rsidRDefault="006A5C58" w:rsidP="006A5C58">
      <w:pPr>
        <w:pStyle w:val="Titre3"/>
        <w:rPr>
          <w:lang w:val="fr-FR"/>
        </w:rPr>
      </w:pPr>
      <w:r>
        <w:rPr>
          <w:lang w:val="fr-FR"/>
        </w:rPr>
        <w:t xml:space="preserve">Objectifs </w:t>
      </w:r>
    </w:p>
    <w:p w:rsidR="006A5C58" w:rsidRDefault="006A5C58" w:rsidP="006A5C58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Lutter contre le franchissement de barrière d’espèces</w:t>
      </w:r>
    </w:p>
    <w:p w:rsidR="006A5C58" w:rsidRDefault="006A5C58" w:rsidP="006A5C58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Eviter l’apparition et le maintien des facteurs qui contribuent à l’augmentation du risque (primordiale)</w:t>
      </w:r>
    </w:p>
    <w:p w:rsidR="006A5C58" w:rsidRDefault="006A5C58" w:rsidP="006A5C58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Eviter l’apparition des nouveaux cas de peste humaine (primaire)</w:t>
      </w:r>
    </w:p>
    <w:p w:rsidR="006A5C58" w:rsidRDefault="006A5C58" w:rsidP="006A5C58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Assurer le dépistage et le traitement précoce des cas (secondaire)</w:t>
      </w:r>
    </w:p>
    <w:p w:rsidR="006A5C58" w:rsidRDefault="006A5C58" w:rsidP="006A5C58">
      <w:pPr>
        <w:pStyle w:val="Titre3"/>
        <w:rPr>
          <w:lang w:val="fr-FR"/>
        </w:rPr>
      </w:pPr>
      <w:r>
        <w:rPr>
          <w:lang w:val="fr-FR"/>
        </w:rPr>
        <w:t xml:space="preserve">Actions de santé publique </w:t>
      </w:r>
    </w:p>
    <w:p w:rsidR="006A5C58" w:rsidRDefault="006A5C58" w:rsidP="006A5C58">
      <w:pPr>
        <w:pStyle w:val="Titre4"/>
        <w:rPr>
          <w:lang w:val="fr-FR"/>
        </w:rPr>
      </w:pPr>
      <w:r>
        <w:rPr>
          <w:lang w:val="fr-FR"/>
        </w:rPr>
        <w:t>Rongeurs sauvages</w:t>
      </w:r>
    </w:p>
    <w:p w:rsidR="006A5C58" w:rsidRDefault="006A5C58" w:rsidP="006A5C58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Education sanitaire axée sur les mauvais effets de faux de brousse</w:t>
      </w:r>
    </w:p>
    <w:p w:rsidR="006A5C58" w:rsidRDefault="006A5C58" w:rsidP="006A5C58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Lutte contre les puces vectrices : désinsectisation des terriers et des pistes des rongeurs sauvages </w:t>
      </w:r>
    </w:p>
    <w:p w:rsidR="006A5C58" w:rsidRDefault="006A5C58" w:rsidP="006A5C58">
      <w:pPr>
        <w:pStyle w:val="Titre4"/>
        <w:rPr>
          <w:lang w:val="fr-FR"/>
        </w:rPr>
      </w:pPr>
      <w:r>
        <w:rPr>
          <w:lang w:val="fr-FR"/>
        </w:rPr>
        <w:t>Puces</w:t>
      </w:r>
    </w:p>
    <w:p w:rsidR="006A5C58" w:rsidRDefault="006A5C58" w:rsidP="006A5C58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Education sanitaire axée sur les effets bénéfiques de la désinsectisation et de la dératisation</w:t>
      </w:r>
    </w:p>
    <w:p w:rsidR="006A5C58" w:rsidRDefault="006A5C58" w:rsidP="006A5C58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1</w:t>
      </w:r>
      <w:r w:rsidRPr="006A5C58">
        <w:rPr>
          <w:vertAlign w:val="superscript"/>
          <w:lang w:val="fr-FR"/>
        </w:rPr>
        <w:t>ère</w:t>
      </w:r>
      <w:r>
        <w:rPr>
          <w:lang w:val="fr-FR"/>
        </w:rPr>
        <w:t xml:space="preserve"> cible : puces vectrices</w:t>
      </w:r>
    </w:p>
    <w:p w:rsidR="006A5C58" w:rsidRDefault="006A5C58" w:rsidP="006A5C58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Méthode en « sandwich »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désinsectisation, dératisation, et désinsectisation</w:t>
      </w:r>
    </w:p>
    <w:p w:rsidR="006A5C58" w:rsidRPr="006A5C58" w:rsidRDefault="001E6274" w:rsidP="006A5C58">
      <w:pPr>
        <w:pStyle w:val="Titre4"/>
        <w:rPr>
          <w:lang w:val="fr-FR"/>
        </w:rPr>
      </w:pPr>
      <w:r>
        <w:rPr>
          <w:lang w:val="fr-FR"/>
        </w:rPr>
        <w:t>Êtres</w:t>
      </w:r>
      <w:r w:rsidR="006A5C58">
        <w:rPr>
          <w:lang w:val="fr-FR"/>
        </w:rPr>
        <w:t xml:space="preserve"> humains</w:t>
      </w:r>
    </w:p>
    <w:p w:rsidR="006A5C58" w:rsidRDefault="006A5C58" w:rsidP="006A5C58">
      <w:pPr>
        <w:pStyle w:val="Paragraphedeliste"/>
        <w:numPr>
          <w:ilvl w:val="0"/>
          <w:numId w:val="35"/>
        </w:numPr>
        <w:tabs>
          <w:tab w:val="left" w:pos="1139"/>
        </w:tabs>
        <w:rPr>
          <w:lang w:val="fr-FR"/>
        </w:rPr>
      </w:pPr>
      <w:r>
        <w:rPr>
          <w:lang w:val="fr-FR"/>
        </w:rPr>
        <w:t xml:space="preserve">Education sanitaire axée sur l’hygiène et l’assainissement </w:t>
      </w:r>
    </w:p>
    <w:p w:rsidR="006A5C58" w:rsidRDefault="006A5C58" w:rsidP="006A5C58">
      <w:pPr>
        <w:pStyle w:val="Paragraphedeliste"/>
        <w:numPr>
          <w:ilvl w:val="1"/>
          <w:numId w:val="35"/>
        </w:numPr>
        <w:tabs>
          <w:tab w:val="left" w:pos="1139"/>
        </w:tabs>
        <w:rPr>
          <w:lang w:val="fr-FR"/>
        </w:rPr>
      </w:pPr>
      <w:r>
        <w:rPr>
          <w:lang w:val="fr-FR"/>
        </w:rPr>
        <w:t>Nettoyage et désinsectisation périodique des maisons</w:t>
      </w:r>
    </w:p>
    <w:p w:rsidR="006A5C58" w:rsidRDefault="006A5C58" w:rsidP="006A5C58">
      <w:pPr>
        <w:pStyle w:val="Paragraphedeliste"/>
        <w:numPr>
          <w:ilvl w:val="1"/>
          <w:numId w:val="35"/>
        </w:numPr>
        <w:tabs>
          <w:tab w:val="left" w:pos="1139"/>
        </w:tabs>
        <w:rPr>
          <w:lang w:val="fr-FR"/>
        </w:rPr>
      </w:pPr>
      <w:r>
        <w:rPr>
          <w:lang w:val="fr-FR"/>
        </w:rPr>
        <w:t>Réglementations des gestions de déchets</w:t>
      </w:r>
    </w:p>
    <w:p w:rsidR="006A5C58" w:rsidRDefault="006A5C58" w:rsidP="006A5C58">
      <w:pPr>
        <w:pStyle w:val="Paragraphedeliste"/>
        <w:numPr>
          <w:ilvl w:val="1"/>
          <w:numId w:val="35"/>
        </w:numPr>
        <w:tabs>
          <w:tab w:val="left" w:pos="1139"/>
        </w:tabs>
        <w:rPr>
          <w:lang w:val="fr-FR"/>
        </w:rPr>
      </w:pPr>
      <w:r>
        <w:rPr>
          <w:lang w:val="fr-FR"/>
        </w:rPr>
        <w:t>Débroussaillage des alentours des maisons</w:t>
      </w:r>
    </w:p>
    <w:p w:rsidR="006A5C58" w:rsidRDefault="006A5C58" w:rsidP="006A5C58">
      <w:pPr>
        <w:pStyle w:val="Paragraphedeliste"/>
        <w:numPr>
          <w:ilvl w:val="0"/>
          <w:numId w:val="35"/>
        </w:numPr>
        <w:tabs>
          <w:tab w:val="left" w:pos="1139"/>
        </w:tabs>
        <w:rPr>
          <w:lang w:val="fr-FR"/>
        </w:rPr>
      </w:pPr>
      <w:r>
        <w:rPr>
          <w:lang w:val="fr-FR"/>
        </w:rPr>
        <w:t>Dépistage précoce des sujets infectés en se référant aux définition des cas</w:t>
      </w:r>
    </w:p>
    <w:p w:rsidR="006A5C58" w:rsidRDefault="006A5C58" w:rsidP="006A5C58">
      <w:pPr>
        <w:pStyle w:val="Paragraphedeliste"/>
        <w:numPr>
          <w:ilvl w:val="0"/>
          <w:numId w:val="35"/>
        </w:numPr>
        <w:tabs>
          <w:tab w:val="left" w:pos="1139"/>
        </w:tabs>
        <w:rPr>
          <w:lang w:val="fr-FR"/>
        </w:rPr>
      </w:pPr>
      <w:r>
        <w:rPr>
          <w:lang w:val="fr-FR"/>
        </w:rPr>
        <w:t>Traitement correct des cas</w:t>
      </w:r>
    </w:p>
    <w:p w:rsidR="006A5C58" w:rsidRDefault="006A5C58" w:rsidP="006A5C58">
      <w:pPr>
        <w:pStyle w:val="Paragraphedeliste"/>
        <w:numPr>
          <w:ilvl w:val="0"/>
          <w:numId w:val="35"/>
        </w:numPr>
        <w:tabs>
          <w:tab w:val="left" w:pos="1139"/>
        </w:tabs>
        <w:rPr>
          <w:lang w:val="fr-FR"/>
        </w:rPr>
      </w:pPr>
      <w:r>
        <w:rPr>
          <w:lang w:val="fr-FR"/>
        </w:rPr>
        <w:t>Prophylaxie des contacts</w:t>
      </w:r>
    </w:p>
    <w:p w:rsidR="006A5C58" w:rsidRDefault="006A5C58" w:rsidP="006A5C58">
      <w:pPr>
        <w:pStyle w:val="Paragraphedeliste"/>
        <w:numPr>
          <w:ilvl w:val="1"/>
          <w:numId w:val="35"/>
        </w:numPr>
        <w:tabs>
          <w:tab w:val="left" w:pos="1139"/>
        </w:tabs>
        <w:rPr>
          <w:lang w:val="fr-FR"/>
        </w:rPr>
      </w:pPr>
      <w:r>
        <w:rPr>
          <w:lang w:val="fr-FR"/>
        </w:rPr>
        <w:t>Pré-positionnement en kit « peste»</w:t>
      </w:r>
    </w:p>
    <w:p w:rsidR="006A5C58" w:rsidRDefault="006A5C58" w:rsidP="006A5C58">
      <w:pPr>
        <w:pStyle w:val="Paragraphedeliste"/>
        <w:numPr>
          <w:ilvl w:val="0"/>
          <w:numId w:val="35"/>
        </w:numPr>
        <w:tabs>
          <w:tab w:val="left" w:pos="1139"/>
        </w:tabs>
        <w:rPr>
          <w:lang w:val="fr-FR"/>
        </w:rPr>
      </w:pPr>
      <w:r>
        <w:rPr>
          <w:lang w:val="fr-FR"/>
        </w:rPr>
        <w:t>Conduite à tenir adéquate devant un cas de décès</w:t>
      </w:r>
    </w:p>
    <w:p w:rsidR="006A5C58" w:rsidRDefault="004014C8" w:rsidP="004014C8">
      <w:pPr>
        <w:pStyle w:val="Titre3"/>
        <w:rPr>
          <w:lang w:val="fr-FR"/>
        </w:rPr>
      </w:pPr>
      <w:r>
        <w:rPr>
          <w:lang w:val="fr-FR"/>
        </w:rPr>
        <w:t>Traitement des cas</w:t>
      </w:r>
    </w:p>
    <w:p w:rsidR="004014C8" w:rsidRDefault="004014C8" w:rsidP="004014C8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Se référer au </w:t>
      </w:r>
      <w:r w:rsidR="001E6274">
        <w:rPr>
          <w:lang w:val="fr-FR"/>
        </w:rPr>
        <w:t xml:space="preserve">cours </w:t>
      </w:r>
      <w:r>
        <w:rPr>
          <w:lang w:val="fr-FR"/>
        </w:rPr>
        <w:t>de maladie infectieuse</w:t>
      </w:r>
    </w:p>
    <w:p w:rsidR="004014C8" w:rsidRDefault="004014C8" w:rsidP="004014C8">
      <w:pPr>
        <w:pStyle w:val="Titre3"/>
        <w:rPr>
          <w:lang w:val="fr-FR"/>
        </w:rPr>
      </w:pPr>
      <w:r>
        <w:rPr>
          <w:lang w:val="fr-FR"/>
        </w:rPr>
        <w:t>Prophylaxie des contacts</w:t>
      </w:r>
    </w:p>
    <w:p w:rsidR="004014C8" w:rsidRDefault="004014C8" w:rsidP="004014C8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Contacts</w:t>
      </w:r>
    </w:p>
    <w:p w:rsidR="004014C8" w:rsidRDefault="004014C8" w:rsidP="004014C8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Sujets habitant avec les cas</w:t>
      </w:r>
    </w:p>
    <w:p w:rsidR="004014C8" w:rsidRDefault="004014C8" w:rsidP="004014C8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Sujets ayant manipulé le cas de décès</w:t>
      </w:r>
    </w:p>
    <w:p w:rsidR="004014C8" w:rsidRDefault="004014C8" w:rsidP="004014C8">
      <w:pPr>
        <w:pStyle w:val="Paragraphedeliste"/>
        <w:rPr>
          <w:lang w:val="fr-FR"/>
        </w:rPr>
      </w:pPr>
      <w:r>
        <w:rPr>
          <w:rFonts w:cs="Times New Roman"/>
          <w:lang w:val="fr-FR"/>
        </w:rPr>
        <w:t>→</w:t>
      </w:r>
      <w:r>
        <w:rPr>
          <w:lang w:val="fr-FR"/>
        </w:rPr>
        <w:t xml:space="preserve"> Sulfadoxine en dose unique</w:t>
      </w:r>
    </w:p>
    <w:p w:rsidR="004014C8" w:rsidRDefault="004014C8" w:rsidP="004014C8">
      <w:pPr>
        <w:pStyle w:val="Titre3"/>
        <w:rPr>
          <w:lang w:val="fr-FR"/>
        </w:rPr>
      </w:pPr>
      <w:r>
        <w:rPr>
          <w:lang w:val="fr-FR"/>
        </w:rPr>
        <w:t>Conduite à tenir devant un cas de décès</w:t>
      </w:r>
    </w:p>
    <w:p w:rsidR="004014C8" w:rsidRDefault="004014C8" w:rsidP="004014C8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Rendre compte au chef hiérarchique</w:t>
      </w:r>
    </w:p>
    <w:p w:rsidR="004014C8" w:rsidRDefault="004014C8" w:rsidP="004014C8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Limiter à 6 personnes la manipulation du cadavre</w:t>
      </w:r>
    </w:p>
    <w:p w:rsidR="004014C8" w:rsidRDefault="004014C8" w:rsidP="004014C8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Eviter toute visite et veillée mortuaire </w:t>
      </w:r>
    </w:p>
    <w:p w:rsidR="004014C8" w:rsidRDefault="004014C8" w:rsidP="004014C8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Désinfecter le cadavre avec chlorure de chaux</w:t>
      </w:r>
    </w:p>
    <w:p w:rsidR="004014C8" w:rsidRDefault="004014C8" w:rsidP="004014C8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Faire la mise en bière</w:t>
      </w:r>
    </w:p>
    <w:p w:rsidR="004014C8" w:rsidRDefault="004014C8" w:rsidP="004014C8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Enterrer le cadavre dans un tombeau individuel en moins de 6 heures</w:t>
      </w:r>
    </w:p>
    <w:p w:rsidR="004014C8" w:rsidRDefault="004014C8" w:rsidP="004014C8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Interdire le transport de la dépouille mortelle hors du lieu de décès (pas de transfert ni d’exhumation pendant moins de 6 ans)</w:t>
      </w:r>
    </w:p>
    <w:p w:rsidR="004014C8" w:rsidRDefault="004014C8" w:rsidP="004014C8">
      <w:pPr>
        <w:rPr>
          <w:lang w:val="fr-FR"/>
        </w:rPr>
      </w:pPr>
      <w:r>
        <w:rPr>
          <w:rFonts w:cs="Times New Roman"/>
          <w:lang w:val="fr-FR"/>
        </w:rPr>
        <w:t>→</w:t>
      </w:r>
      <w:r>
        <w:rPr>
          <w:lang w:val="fr-FR"/>
        </w:rPr>
        <w:t xml:space="preserve"> Forte implication de la communauté</w:t>
      </w:r>
    </w:p>
    <w:p w:rsidR="004014C8" w:rsidRDefault="004014C8" w:rsidP="004014C8">
      <w:pPr>
        <w:pStyle w:val="Titre2"/>
        <w:rPr>
          <w:lang w:val="fr-FR"/>
        </w:rPr>
      </w:pPr>
      <w:r>
        <w:rPr>
          <w:lang w:val="fr-FR"/>
        </w:rPr>
        <w:t>Surveillance</w:t>
      </w:r>
    </w:p>
    <w:p w:rsidR="004014C8" w:rsidRDefault="004014C8" w:rsidP="004014C8">
      <w:pPr>
        <w:pStyle w:val="Titre3"/>
        <w:rPr>
          <w:lang w:val="fr-FR"/>
        </w:rPr>
      </w:pPr>
      <w:r>
        <w:rPr>
          <w:lang w:val="fr-FR"/>
        </w:rPr>
        <w:t>Cas humains</w:t>
      </w:r>
    </w:p>
    <w:p w:rsidR="004014C8" w:rsidRDefault="004014C8" w:rsidP="004014C8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Notification obligatoire des cas selon</w:t>
      </w:r>
    </w:p>
    <w:p w:rsidR="004014C8" w:rsidRDefault="004014C8" w:rsidP="004014C8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Données personnelles (personne)</w:t>
      </w:r>
    </w:p>
    <w:p w:rsidR="004014C8" w:rsidRDefault="004014C8" w:rsidP="004014C8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Date de début de la maladie et décès (temps)</w:t>
      </w:r>
    </w:p>
    <w:p w:rsidR="004014C8" w:rsidRDefault="004014C8" w:rsidP="004014C8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Information géographique ((lieux)</w:t>
      </w:r>
    </w:p>
    <w:p w:rsidR="004014C8" w:rsidRDefault="004014C8" w:rsidP="004014C8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Indicateurs de surveillance</w:t>
      </w:r>
    </w:p>
    <w:p w:rsidR="004014C8" w:rsidRDefault="004014C8" w:rsidP="004014C8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Nombre de cas (suspects, probables, confirmés)</w:t>
      </w:r>
    </w:p>
    <w:p w:rsidR="004014C8" w:rsidRDefault="004014C8" w:rsidP="004014C8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Létalité (décès parmi les cas)</w:t>
      </w:r>
    </w:p>
    <w:p w:rsidR="004014C8" w:rsidRDefault="004014C8" w:rsidP="004014C8">
      <w:pPr>
        <w:pStyle w:val="Titre3"/>
        <w:rPr>
          <w:lang w:val="fr-FR"/>
        </w:rPr>
      </w:pPr>
      <w:r>
        <w:rPr>
          <w:lang w:val="fr-FR"/>
        </w:rPr>
        <w:t>Réservoirs</w:t>
      </w:r>
    </w:p>
    <w:p w:rsidR="004014C8" w:rsidRDefault="004014C8" w:rsidP="004014C8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Identification et déclaration de la mortalité murine inexpliquée</w:t>
      </w:r>
    </w:p>
    <w:p w:rsidR="004014C8" w:rsidRDefault="004014C8" w:rsidP="004014C8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Implication de la communauté</w:t>
      </w:r>
    </w:p>
    <w:p w:rsidR="004014C8" w:rsidRDefault="004014C8" w:rsidP="004014C8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Etude sérologique périodique chez les rongeurs</w:t>
      </w:r>
    </w:p>
    <w:p w:rsidR="004014C8" w:rsidRDefault="004014C8" w:rsidP="004014C8">
      <w:pPr>
        <w:pStyle w:val="Titre3"/>
        <w:rPr>
          <w:lang w:val="fr-FR"/>
        </w:rPr>
      </w:pPr>
      <w:r>
        <w:rPr>
          <w:lang w:val="fr-FR"/>
        </w:rPr>
        <w:t>Puces vectrices</w:t>
      </w:r>
    </w:p>
    <w:p w:rsidR="004014C8" w:rsidRDefault="004014C8" w:rsidP="004014C8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Indice pulicidien spécifique Xénopsylla cheopis </w:t>
      </w:r>
    </w:p>
    <w:p w:rsidR="004014C8" w:rsidRDefault="004014C8" w:rsidP="004014C8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Indice </w:t>
      </w:r>
      <w:r>
        <w:rPr>
          <w:rFonts w:cs="Times New Roman"/>
          <w:lang w:val="fr-FR"/>
        </w:rPr>
        <w:t>˃</w:t>
      </w:r>
      <w:r>
        <w:rPr>
          <w:lang w:val="fr-FR"/>
        </w:rPr>
        <w:t xml:space="preserve"> 1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risque élevé de peste pour l’homme</w:t>
      </w:r>
    </w:p>
    <w:p w:rsidR="004014C8" w:rsidRPr="001E6274" w:rsidRDefault="004014C8" w:rsidP="001E6274">
      <w:pPr>
        <w:shd w:val="clear" w:color="auto" w:fill="D9D9D9" w:themeFill="background1" w:themeFillShade="D9"/>
        <w:ind w:left="360"/>
        <w:jc w:val="center"/>
        <w:rPr>
          <w:sz w:val="24"/>
          <w:szCs w:val="24"/>
          <w:lang w:val="fr-FR"/>
        </w:rPr>
      </w:pPr>
      <w:r w:rsidRPr="001E6274">
        <w:rPr>
          <w:sz w:val="24"/>
          <w:szCs w:val="24"/>
          <w:lang w:val="fr-FR"/>
        </w:rPr>
        <w:t>Indice pulicidien =</w:t>
      </w:r>
      <w:r w:rsidR="001E6274" w:rsidRPr="001E6274">
        <w:rPr>
          <w:sz w:val="24"/>
          <w:szCs w:val="24"/>
          <w:lang w:val="fr-FR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fr-FR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fr-FR"/>
              </w:rPr>
              <m:t xml:space="preserve">Nombre de puce x </m:t>
            </m:r>
            <m:r>
              <w:rPr>
                <w:rFonts w:ascii="Cambria Math" w:hAnsi="Cambria Math"/>
                <w:sz w:val="24"/>
                <w:szCs w:val="24"/>
                <w:lang w:val="fr-FR"/>
              </w:rPr>
              <m:t>cheopis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fr-FR"/>
              </w:rPr>
              <m:t>Nombre de rongeurs (rats examens)</m:t>
            </m:r>
          </m:den>
        </m:f>
      </m:oMath>
    </w:p>
    <w:p w:rsidR="001E6274" w:rsidRDefault="001E6274" w:rsidP="001E6274">
      <w:pPr>
        <w:pStyle w:val="Titre1"/>
        <w:rPr>
          <w:lang w:val="fr-FR"/>
        </w:rPr>
      </w:pPr>
      <w:r>
        <w:rPr>
          <w:lang w:val="fr-FR"/>
        </w:rPr>
        <w:t xml:space="preserve">Conclusion </w:t>
      </w:r>
    </w:p>
    <w:p w:rsidR="001E6274" w:rsidRDefault="001E6274" w:rsidP="001E6274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Peste : zoonose transmise accidentellement à l’homme par franchissement de la barrière d’espèces</w:t>
      </w:r>
    </w:p>
    <w:p w:rsidR="001E6274" w:rsidRDefault="001E6274" w:rsidP="001E6274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Méthode de lutte</w:t>
      </w:r>
    </w:p>
    <w:p w:rsidR="001E6274" w:rsidRDefault="001E6274" w:rsidP="001E6274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Lutte contre les puces et les rongeurs et</w:t>
      </w:r>
    </w:p>
    <w:p w:rsidR="001E6274" w:rsidRPr="001E6274" w:rsidRDefault="001E6274" w:rsidP="001E6274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Dépistage et traitement précoce des cas</w:t>
      </w:r>
      <w:bookmarkStart w:id="0" w:name="_GoBack"/>
      <w:bookmarkEnd w:id="0"/>
    </w:p>
    <w:sectPr w:rsidR="001E6274" w:rsidRPr="001E6274" w:rsidSect="00ED58FF">
      <w:headerReference w:type="default" r:id="rId18"/>
      <w:footerReference w:type="default" r:id="rId19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7CBD" w:rsidRDefault="00977CBD" w:rsidP="00ED58FF">
      <w:pPr>
        <w:spacing w:line="240" w:lineRule="auto"/>
      </w:pPr>
      <w:r>
        <w:separator/>
      </w:r>
    </w:p>
  </w:endnote>
  <w:endnote w:type="continuationSeparator" w:id="0">
    <w:p w:rsidR="00977CBD" w:rsidRDefault="00977CBD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7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9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30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7CBD" w:rsidRDefault="00977CBD" w:rsidP="00ED58FF">
      <w:pPr>
        <w:spacing w:line="240" w:lineRule="auto"/>
      </w:pPr>
      <w:r>
        <w:separator/>
      </w:r>
    </w:p>
  </w:footnote>
  <w:footnote w:type="continuationSeparator" w:id="0">
    <w:p w:rsidR="00977CBD" w:rsidRDefault="00977CBD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696BBE" w:rsidRDefault="003E12AB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Santé publique du 05 Août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67C"/>
    <w:multiLevelType w:val="multilevel"/>
    <w:tmpl w:val="156AE2AC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D2B3836"/>
    <w:multiLevelType w:val="hybridMultilevel"/>
    <w:tmpl w:val="0FE4E4FE"/>
    <w:lvl w:ilvl="0" w:tplc="97701BC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FE4A0D"/>
    <w:multiLevelType w:val="hybridMultilevel"/>
    <w:tmpl w:val="506A787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7D16D08"/>
    <w:multiLevelType w:val="hybridMultilevel"/>
    <w:tmpl w:val="89BA2508"/>
    <w:lvl w:ilvl="0" w:tplc="9AA41B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3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4"/>
  </w:num>
  <w:num w:numId="34">
    <w:abstractNumId w:val="2"/>
  </w:num>
  <w:num w:numId="35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101625"/>
    <w:rsid w:val="001313C9"/>
    <w:rsid w:val="0013512C"/>
    <w:rsid w:val="001A0D04"/>
    <w:rsid w:val="001A2B94"/>
    <w:rsid w:val="001E6274"/>
    <w:rsid w:val="00256ADE"/>
    <w:rsid w:val="00265A80"/>
    <w:rsid w:val="002A6A07"/>
    <w:rsid w:val="002C6447"/>
    <w:rsid w:val="002E5E72"/>
    <w:rsid w:val="002F11C5"/>
    <w:rsid w:val="00313CF7"/>
    <w:rsid w:val="00335ADC"/>
    <w:rsid w:val="0037606B"/>
    <w:rsid w:val="003B6C30"/>
    <w:rsid w:val="003C5F05"/>
    <w:rsid w:val="003D25C6"/>
    <w:rsid w:val="003E12AB"/>
    <w:rsid w:val="004014C8"/>
    <w:rsid w:val="004538AD"/>
    <w:rsid w:val="004E639C"/>
    <w:rsid w:val="00502925"/>
    <w:rsid w:val="00504447"/>
    <w:rsid w:val="00537805"/>
    <w:rsid w:val="00554F63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6A5C58"/>
    <w:rsid w:val="0075213D"/>
    <w:rsid w:val="00795614"/>
    <w:rsid w:val="007C33B7"/>
    <w:rsid w:val="00872EA0"/>
    <w:rsid w:val="008809FC"/>
    <w:rsid w:val="008C5E2B"/>
    <w:rsid w:val="008D5B42"/>
    <w:rsid w:val="008F1FDE"/>
    <w:rsid w:val="00926B96"/>
    <w:rsid w:val="00977CBD"/>
    <w:rsid w:val="00A20C5D"/>
    <w:rsid w:val="00AB4EC0"/>
    <w:rsid w:val="00AC0D72"/>
    <w:rsid w:val="00AD761F"/>
    <w:rsid w:val="00BB4BA5"/>
    <w:rsid w:val="00BD03D0"/>
    <w:rsid w:val="00C36BEA"/>
    <w:rsid w:val="00CA01E4"/>
    <w:rsid w:val="00D1488E"/>
    <w:rsid w:val="00D20850"/>
    <w:rsid w:val="00D6626F"/>
    <w:rsid w:val="00DB65BA"/>
    <w:rsid w:val="00DD6082"/>
    <w:rsid w:val="00DE1FE6"/>
    <w:rsid w:val="00DE57C6"/>
    <w:rsid w:val="00DF3A36"/>
    <w:rsid w:val="00DF4ABB"/>
    <w:rsid w:val="00E04714"/>
    <w:rsid w:val="00ED0596"/>
    <w:rsid w:val="00ED58FF"/>
    <w:rsid w:val="00F048D4"/>
    <w:rsid w:val="00F17AB1"/>
    <w:rsid w:val="00F73EDE"/>
    <w:rsid w:val="00FB6C7B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078053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3E12AB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3E12AB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  <w:style w:type="character" w:styleId="Textedelespacerserv">
    <w:name w:val="Placeholder Text"/>
    <w:basedOn w:val="Policepardfaut"/>
    <w:uiPriority w:val="99"/>
    <w:semiHidden/>
    <w:rsid w:val="004014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diagramData" Target="diagrams/data2.xm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10" Type="http://schemas.openxmlformats.org/officeDocument/2006/relationships/diagramQuickStyle" Target="diagrams/quickStyle1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8CFD3D8-FF4E-4F34-AB9B-4228D341871D}" type="doc">
      <dgm:prSet loTypeId="urn:microsoft.com/office/officeart/2005/8/layout/cycle2" loCatId="cycle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fr-MG"/>
        </a:p>
      </dgm:t>
    </dgm:pt>
    <dgm:pt modelId="{01AD6119-E4E5-463D-919E-EB342B7FEAF8}">
      <dgm:prSet phldrT="[Texte]" custT="1"/>
      <dgm:spPr>
        <a:ln w="3175"/>
      </dgm:spPr>
      <dgm:t>
        <a:bodyPr/>
        <a:lstStyle/>
        <a:p>
          <a:r>
            <a:rPr lang="fr-FR" sz="1100">
              <a:latin typeface="Times New Roman" panose="02020603050405020304" pitchFamily="18" charset="0"/>
              <a:cs typeface="Times New Roman" panose="02020603050405020304" pitchFamily="18" charset="0"/>
            </a:rPr>
            <a:t>Rongeurs sauvages </a:t>
          </a:r>
          <a:endParaRPr lang="fr-MG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BC92775-B3D5-4DF5-BEDA-BB0026BF929C}" type="parTrans" cxnId="{DD5649D4-32D2-4332-B37A-8D2EDC77A24C}">
      <dgm:prSet/>
      <dgm:spPr/>
      <dgm:t>
        <a:bodyPr/>
        <a:lstStyle/>
        <a:p>
          <a:endParaRPr lang="fr-MG"/>
        </a:p>
      </dgm:t>
    </dgm:pt>
    <dgm:pt modelId="{194333D0-889A-4A4C-8D7D-5EDF0F7A3103}" type="sibTrans" cxnId="{DD5649D4-32D2-4332-B37A-8D2EDC77A24C}">
      <dgm:prSet custT="1"/>
      <dgm:spPr>
        <a:ln w="3175"/>
      </dgm:spPr>
      <dgm:t>
        <a:bodyPr/>
        <a:lstStyle/>
        <a:p>
          <a:endParaRPr lang="fr-MG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37EB899-9FCF-4641-9229-F9483F8E82CE}">
      <dgm:prSet phldrT="[Texte]" custT="1"/>
      <dgm:spPr>
        <a:ln w="3175"/>
      </dgm:spPr>
      <dgm:t>
        <a:bodyPr/>
        <a:lstStyle/>
        <a:p>
          <a:r>
            <a:rPr lang="fr-FR" sz="1100">
              <a:latin typeface="Times New Roman" panose="02020603050405020304" pitchFamily="18" charset="0"/>
              <a:cs typeface="Times New Roman" panose="02020603050405020304" pitchFamily="18" charset="0"/>
            </a:rPr>
            <a:t>Puces </a:t>
          </a:r>
          <a:endParaRPr lang="fr-MG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7963568-C490-45BC-9552-B8144BA9710F}" type="parTrans" cxnId="{D0B1B938-27B5-441F-A865-1F21E6B0E340}">
      <dgm:prSet/>
      <dgm:spPr/>
      <dgm:t>
        <a:bodyPr/>
        <a:lstStyle/>
        <a:p>
          <a:endParaRPr lang="fr-MG"/>
        </a:p>
      </dgm:t>
    </dgm:pt>
    <dgm:pt modelId="{8CBB205B-6ACF-4276-914F-38393524964C}" type="sibTrans" cxnId="{D0B1B938-27B5-441F-A865-1F21E6B0E340}">
      <dgm:prSet custT="1"/>
      <dgm:spPr>
        <a:ln w="3175"/>
      </dgm:spPr>
      <dgm:t>
        <a:bodyPr/>
        <a:lstStyle/>
        <a:p>
          <a:endParaRPr lang="fr-MG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B4500E1-5627-487F-8213-F12B74F9E5CA}">
      <dgm:prSet phldrT="[Texte]" custT="1"/>
      <dgm:spPr>
        <a:ln w="3175"/>
      </dgm:spPr>
      <dgm:t>
        <a:bodyPr/>
        <a:lstStyle/>
        <a:p>
          <a:r>
            <a:rPr lang="fr-FR" sz="1100">
              <a:latin typeface="Times New Roman" panose="02020603050405020304" pitchFamily="18" charset="0"/>
              <a:cs typeface="Times New Roman" panose="02020603050405020304" pitchFamily="18" charset="0"/>
            </a:rPr>
            <a:t>Rongeurs sauvages</a:t>
          </a:r>
          <a:endParaRPr lang="fr-MG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634EC91-9DEF-4FB7-8899-DCADEAB97FCA}" type="parTrans" cxnId="{E46E955E-57EB-46D1-9EBC-53D3230F367E}">
      <dgm:prSet/>
      <dgm:spPr/>
      <dgm:t>
        <a:bodyPr/>
        <a:lstStyle/>
        <a:p>
          <a:endParaRPr lang="fr-MG"/>
        </a:p>
      </dgm:t>
    </dgm:pt>
    <dgm:pt modelId="{D21B29DC-3FDA-4788-BF10-3248A599CF58}" type="sibTrans" cxnId="{E46E955E-57EB-46D1-9EBC-53D3230F367E}">
      <dgm:prSet custT="1"/>
      <dgm:spPr>
        <a:ln w="3175"/>
      </dgm:spPr>
      <dgm:t>
        <a:bodyPr/>
        <a:lstStyle/>
        <a:p>
          <a:endParaRPr lang="fr-MG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896D244-2F77-4FA2-B948-043BFE418E3E}">
      <dgm:prSet phldrT="[Texte]" custT="1"/>
      <dgm:spPr>
        <a:ln w="3175"/>
      </dgm:spPr>
      <dgm:t>
        <a:bodyPr/>
        <a:lstStyle/>
        <a:p>
          <a:r>
            <a:rPr lang="fr-FR" sz="1100">
              <a:latin typeface="Times New Roman" panose="02020603050405020304" pitchFamily="18" charset="0"/>
              <a:cs typeface="Times New Roman" panose="02020603050405020304" pitchFamily="18" charset="0"/>
            </a:rPr>
            <a:t>Puces</a:t>
          </a:r>
          <a:endParaRPr lang="fr-MG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110100F-A4C0-4182-90FC-8BE92486F581}" type="parTrans" cxnId="{6C7E4D3D-33DB-4963-B799-6C2C0733494E}">
      <dgm:prSet/>
      <dgm:spPr/>
      <dgm:t>
        <a:bodyPr/>
        <a:lstStyle/>
        <a:p>
          <a:endParaRPr lang="fr-MG"/>
        </a:p>
      </dgm:t>
    </dgm:pt>
    <dgm:pt modelId="{3DD4EA84-E44B-4CF2-9D82-78FC68244726}" type="sibTrans" cxnId="{6C7E4D3D-33DB-4963-B799-6C2C0733494E}">
      <dgm:prSet custT="1"/>
      <dgm:spPr>
        <a:ln w="3175"/>
      </dgm:spPr>
      <dgm:t>
        <a:bodyPr/>
        <a:lstStyle/>
        <a:p>
          <a:endParaRPr lang="fr-MG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B0D898A-6DC8-4D3E-89B0-10D3918EA420}" type="pres">
      <dgm:prSet presAssocID="{A8CFD3D8-FF4E-4F34-AB9B-4228D341871D}" presName="cycle" presStyleCnt="0">
        <dgm:presLayoutVars>
          <dgm:dir/>
          <dgm:resizeHandles val="exact"/>
        </dgm:presLayoutVars>
      </dgm:prSet>
      <dgm:spPr/>
    </dgm:pt>
    <dgm:pt modelId="{848ECF77-6399-4D40-913A-98D139228D4D}" type="pres">
      <dgm:prSet presAssocID="{01AD6119-E4E5-463D-919E-EB342B7FEAF8}" presName="node" presStyleLbl="node1" presStyleIdx="0" presStyleCnt="4" custScaleX="164127">
        <dgm:presLayoutVars>
          <dgm:bulletEnabled val="1"/>
        </dgm:presLayoutVars>
      </dgm:prSet>
      <dgm:spPr/>
    </dgm:pt>
    <dgm:pt modelId="{A918DD21-5F74-4238-849B-FF1C5F390007}" type="pres">
      <dgm:prSet presAssocID="{194333D0-889A-4A4C-8D7D-5EDF0F7A3103}" presName="sibTrans" presStyleLbl="sibTrans2D1" presStyleIdx="0" presStyleCnt="4"/>
      <dgm:spPr/>
    </dgm:pt>
    <dgm:pt modelId="{0DA4A9C6-B2A8-44D6-83B7-D90FBC141380}" type="pres">
      <dgm:prSet presAssocID="{194333D0-889A-4A4C-8D7D-5EDF0F7A3103}" presName="connectorText" presStyleLbl="sibTrans2D1" presStyleIdx="0" presStyleCnt="4"/>
      <dgm:spPr/>
    </dgm:pt>
    <dgm:pt modelId="{74D3C3FE-3232-4278-9082-F65589F84F05}" type="pres">
      <dgm:prSet presAssocID="{137EB899-9FCF-4641-9229-F9483F8E82CE}" presName="node" presStyleLbl="node1" presStyleIdx="1" presStyleCnt="4">
        <dgm:presLayoutVars>
          <dgm:bulletEnabled val="1"/>
        </dgm:presLayoutVars>
      </dgm:prSet>
      <dgm:spPr/>
    </dgm:pt>
    <dgm:pt modelId="{8D017122-9B44-43FB-944A-F2C6A3415F08}" type="pres">
      <dgm:prSet presAssocID="{8CBB205B-6ACF-4276-914F-38393524964C}" presName="sibTrans" presStyleLbl="sibTrans2D1" presStyleIdx="1" presStyleCnt="4"/>
      <dgm:spPr/>
    </dgm:pt>
    <dgm:pt modelId="{57D9333F-0177-4CDE-BF59-C342535C5F17}" type="pres">
      <dgm:prSet presAssocID="{8CBB205B-6ACF-4276-914F-38393524964C}" presName="connectorText" presStyleLbl="sibTrans2D1" presStyleIdx="1" presStyleCnt="4"/>
      <dgm:spPr/>
    </dgm:pt>
    <dgm:pt modelId="{B1B36B8A-79D8-4E67-BD41-8E9E737419E2}" type="pres">
      <dgm:prSet presAssocID="{EB4500E1-5627-487F-8213-F12B74F9E5CA}" presName="node" presStyleLbl="node1" presStyleIdx="2" presStyleCnt="4" custScaleX="151979">
        <dgm:presLayoutVars>
          <dgm:bulletEnabled val="1"/>
        </dgm:presLayoutVars>
      </dgm:prSet>
      <dgm:spPr/>
    </dgm:pt>
    <dgm:pt modelId="{7B4947A1-2DD1-495D-894A-6EBD550BBE63}" type="pres">
      <dgm:prSet presAssocID="{D21B29DC-3FDA-4788-BF10-3248A599CF58}" presName="sibTrans" presStyleLbl="sibTrans2D1" presStyleIdx="2" presStyleCnt="4"/>
      <dgm:spPr/>
    </dgm:pt>
    <dgm:pt modelId="{BBCAF8FD-88D2-4CD6-A93F-5453DE532456}" type="pres">
      <dgm:prSet presAssocID="{D21B29DC-3FDA-4788-BF10-3248A599CF58}" presName="connectorText" presStyleLbl="sibTrans2D1" presStyleIdx="2" presStyleCnt="4"/>
      <dgm:spPr/>
    </dgm:pt>
    <dgm:pt modelId="{BF101E78-F487-4F95-A195-79BD550EB815}" type="pres">
      <dgm:prSet presAssocID="{8896D244-2F77-4FA2-B948-043BFE418E3E}" presName="node" presStyleLbl="node1" presStyleIdx="3" presStyleCnt="4">
        <dgm:presLayoutVars>
          <dgm:bulletEnabled val="1"/>
        </dgm:presLayoutVars>
      </dgm:prSet>
      <dgm:spPr/>
    </dgm:pt>
    <dgm:pt modelId="{DF061083-02AC-45E9-839D-379E250890EB}" type="pres">
      <dgm:prSet presAssocID="{3DD4EA84-E44B-4CF2-9D82-78FC68244726}" presName="sibTrans" presStyleLbl="sibTrans2D1" presStyleIdx="3" presStyleCnt="4"/>
      <dgm:spPr/>
    </dgm:pt>
    <dgm:pt modelId="{DB544BF8-2EB2-4033-9A87-1E24A79E152C}" type="pres">
      <dgm:prSet presAssocID="{3DD4EA84-E44B-4CF2-9D82-78FC68244726}" presName="connectorText" presStyleLbl="sibTrans2D1" presStyleIdx="3" presStyleCnt="4"/>
      <dgm:spPr/>
    </dgm:pt>
  </dgm:ptLst>
  <dgm:cxnLst>
    <dgm:cxn modelId="{D653BD1C-B007-460B-A2FA-E4C08309A83A}" type="presOf" srcId="{8896D244-2F77-4FA2-B948-043BFE418E3E}" destId="{BF101E78-F487-4F95-A195-79BD550EB815}" srcOrd="0" destOrd="0" presId="urn:microsoft.com/office/officeart/2005/8/layout/cycle2"/>
    <dgm:cxn modelId="{3D91D11D-1195-4744-98C0-8883334374FE}" type="presOf" srcId="{A8CFD3D8-FF4E-4F34-AB9B-4228D341871D}" destId="{9B0D898A-6DC8-4D3E-89B0-10D3918EA420}" srcOrd="0" destOrd="0" presId="urn:microsoft.com/office/officeart/2005/8/layout/cycle2"/>
    <dgm:cxn modelId="{12488A26-0BC5-48BA-A033-104B08694344}" type="presOf" srcId="{194333D0-889A-4A4C-8D7D-5EDF0F7A3103}" destId="{0DA4A9C6-B2A8-44D6-83B7-D90FBC141380}" srcOrd="1" destOrd="0" presId="urn:microsoft.com/office/officeart/2005/8/layout/cycle2"/>
    <dgm:cxn modelId="{509B9D2B-3A13-483D-BFA1-8A42F985F3DD}" type="presOf" srcId="{194333D0-889A-4A4C-8D7D-5EDF0F7A3103}" destId="{A918DD21-5F74-4238-849B-FF1C5F390007}" srcOrd="0" destOrd="0" presId="urn:microsoft.com/office/officeart/2005/8/layout/cycle2"/>
    <dgm:cxn modelId="{D0B1B938-27B5-441F-A865-1F21E6B0E340}" srcId="{A8CFD3D8-FF4E-4F34-AB9B-4228D341871D}" destId="{137EB899-9FCF-4641-9229-F9483F8E82CE}" srcOrd="1" destOrd="0" parTransId="{07963568-C490-45BC-9552-B8144BA9710F}" sibTransId="{8CBB205B-6ACF-4276-914F-38393524964C}"/>
    <dgm:cxn modelId="{6C7E4D3D-33DB-4963-B799-6C2C0733494E}" srcId="{A8CFD3D8-FF4E-4F34-AB9B-4228D341871D}" destId="{8896D244-2F77-4FA2-B948-043BFE418E3E}" srcOrd="3" destOrd="0" parTransId="{3110100F-A4C0-4182-90FC-8BE92486F581}" sibTransId="{3DD4EA84-E44B-4CF2-9D82-78FC68244726}"/>
    <dgm:cxn modelId="{85C30C5D-E497-4B8C-BAF3-0AF2A120073F}" type="presOf" srcId="{8CBB205B-6ACF-4276-914F-38393524964C}" destId="{8D017122-9B44-43FB-944A-F2C6A3415F08}" srcOrd="0" destOrd="0" presId="urn:microsoft.com/office/officeart/2005/8/layout/cycle2"/>
    <dgm:cxn modelId="{E46E955E-57EB-46D1-9EBC-53D3230F367E}" srcId="{A8CFD3D8-FF4E-4F34-AB9B-4228D341871D}" destId="{EB4500E1-5627-487F-8213-F12B74F9E5CA}" srcOrd="2" destOrd="0" parTransId="{1634EC91-9DEF-4FB7-8899-DCADEAB97FCA}" sibTransId="{D21B29DC-3FDA-4788-BF10-3248A599CF58}"/>
    <dgm:cxn modelId="{02E8C352-67B6-46E5-B210-BEE64A965CD5}" type="presOf" srcId="{137EB899-9FCF-4641-9229-F9483F8E82CE}" destId="{74D3C3FE-3232-4278-9082-F65589F84F05}" srcOrd="0" destOrd="0" presId="urn:microsoft.com/office/officeart/2005/8/layout/cycle2"/>
    <dgm:cxn modelId="{6EC44A76-40F5-4067-A255-4F09229980BD}" type="presOf" srcId="{3DD4EA84-E44B-4CF2-9D82-78FC68244726}" destId="{DB544BF8-2EB2-4033-9A87-1E24A79E152C}" srcOrd="1" destOrd="0" presId="urn:microsoft.com/office/officeart/2005/8/layout/cycle2"/>
    <dgm:cxn modelId="{77DE0287-8D3C-4767-A2C2-CDD51A7E722C}" type="presOf" srcId="{EB4500E1-5627-487F-8213-F12B74F9E5CA}" destId="{B1B36B8A-79D8-4E67-BD41-8E9E737419E2}" srcOrd="0" destOrd="0" presId="urn:microsoft.com/office/officeart/2005/8/layout/cycle2"/>
    <dgm:cxn modelId="{976CE28C-4158-4B35-9B42-2F663CABEDDB}" type="presOf" srcId="{D21B29DC-3FDA-4788-BF10-3248A599CF58}" destId="{BBCAF8FD-88D2-4CD6-A93F-5453DE532456}" srcOrd="1" destOrd="0" presId="urn:microsoft.com/office/officeart/2005/8/layout/cycle2"/>
    <dgm:cxn modelId="{AF59E6A6-C593-4BCC-B1E4-796B068E6A3A}" type="presOf" srcId="{8CBB205B-6ACF-4276-914F-38393524964C}" destId="{57D9333F-0177-4CDE-BF59-C342535C5F17}" srcOrd="1" destOrd="0" presId="urn:microsoft.com/office/officeart/2005/8/layout/cycle2"/>
    <dgm:cxn modelId="{DEB64CB1-BFC7-45D7-9BB6-C38E9AA681F8}" type="presOf" srcId="{3DD4EA84-E44B-4CF2-9D82-78FC68244726}" destId="{DF061083-02AC-45E9-839D-379E250890EB}" srcOrd="0" destOrd="0" presId="urn:microsoft.com/office/officeart/2005/8/layout/cycle2"/>
    <dgm:cxn modelId="{DD5649D4-32D2-4332-B37A-8D2EDC77A24C}" srcId="{A8CFD3D8-FF4E-4F34-AB9B-4228D341871D}" destId="{01AD6119-E4E5-463D-919E-EB342B7FEAF8}" srcOrd="0" destOrd="0" parTransId="{3BC92775-B3D5-4DF5-BEDA-BB0026BF929C}" sibTransId="{194333D0-889A-4A4C-8D7D-5EDF0F7A3103}"/>
    <dgm:cxn modelId="{D3625AEC-4045-4624-ABB0-9D918BCA5A48}" type="presOf" srcId="{01AD6119-E4E5-463D-919E-EB342B7FEAF8}" destId="{848ECF77-6399-4D40-913A-98D139228D4D}" srcOrd="0" destOrd="0" presId="urn:microsoft.com/office/officeart/2005/8/layout/cycle2"/>
    <dgm:cxn modelId="{8E846AFD-9C44-475A-B26C-D7C48347450A}" type="presOf" srcId="{D21B29DC-3FDA-4788-BF10-3248A599CF58}" destId="{7B4947A1-2DD1-495D-894A-6EBD550BBE63}" srcOrd="0" destOrd="0" presId="urn:microsoft.com/office/officeart/2005/8/layout/cycle2"/>
    <dgm:cxn modelId="{DD5A86AC-BC31-4D25-BDA9-04D918036553}" type="presParOf" srcId="{9B0D898A-6DC8-4D3E-89B0-10D3918EA420}" destId="{848ECF77-6399-4D40-913A-98D139228D4D}" srcOrd="0" destOrd="0" presId="urn:microsoft.com/office/officeart/2005/8/layout/cycle2"/>
    <dgm:cxn modelId="{29029147-FA16-48BB-A2AC-A210055D008E}" type="presParOf" srcId="{9B0D898A-6DC8-4D3E-89B0-10D3918EA420}" destId="{A918DD21-5F74-4238-849B-FF1C5F390007}" srcOrd="1" destOrd="0" presId="urn:microsoft.com/office/officeart/2005/8/layout/cycle2"/>
    <dgm:cxn modelId="{EE447CCA-F0D7-4259-AB93-33704EA75C60}" type="presParOf" srcId="{A918DD21-5F74-4238-849B-FF1C5F390007}" destId="{0DA4A9C6-B2A8-44D6-83B7-D90FBC141380}" srcOrd="0" destOrd="0" presId="urn:microsoft.com/office/officeart/2005/8/layout/cycle2"/>
    <dgm:cxn modelId="{B7AA0B5A-FAD5-4D53-AC42-F22D433DE55B}" type="presParOf" srcId="{9B0D898A-6DC8-4D3E-89B0-10D3918EA420}" destId="{74D3C3FE-3232-4278-9082-F65589F84F05}" srcOrd="2" destOrd="0" presId="urn:microsoft.com/office/officeart/2005/8/layout/cycle2"/>
    <dgm:cxn modelId="{0CDDEC6B-8223-4739-8FE7-4627B25B3D43}" type="presParOf" srcId="{9B0D898A-6DC8-4D3E-89B0-10D3918EA420}" destId="{8D017122-9B44-43FB-944A-F2C6A3415F08}" srcOrd="3" destOrd="0" presId="urn:microsoft.com/office/officeart/2005/8/layout/cycle2"/>
    <dgm:cxn modelId="{9B307800-4B63-4FED-8D5C-F569AC9DDF31}" type="presParOf" srcId="{8D017122-9B44-43FB-944A-F2C6A3415F08}" destId="{57D9333F-0177-4CDE-BF59-C342535C5F17}" srcOrd="0" destOrd="0" presId="urn:microsoft.com/office/officeart/2005/8/layout/cycle2"/>
    <dgm:cxn modelId="{310F0BCB-5913-4DB4-8E87-507BE7BFBD4F}" type="presParOf" srcId="{9B0D898A-6DC8-4D3E-89B0-10D3918EA420}" destId="{B1B36B8A-79D8-4E67-BD41-8E9E737419E2}" srcOrd="4" destOrd="0" presId="urn:microsoft.com/office/officeart/2005/8/layout/cycle2"/>
    <dgm:cxn modelId="{02E7AE2F-50D8-49BB-8A86-F4C70E00B4B6}" type="presParOf" srcId="{9B0D898A-6DC8-4D3E-89B0-10D3918EA420}" destId="{7B4947A1-2DD1-495D-894A-6EBD550BBE63}" srcOrd="5" destOrd="0" presId="urn:microsoft.com/office/officeart/2005/8/layout/cycle2"/>
    <dgm:cxn modelId="{7495FC72-6504-490C-8EF7-2C54A90537FF}" type="presParOf" srcId="{7B4947A1-2DD1-495D-894A-6EBD550BBE63}" destId="{BBCAF8FD-88D2-4CD6-A93F-5453DE532456}" srcOrd="0" destOrd="0" presId="urn:microsoft.com/office/officeart/2005/8/layout/cycle2"/>
    <dgm:cxn modelId="{870D6A54-2AA9-4144-8438-90465A50FEA4}" type="presParOf" srcId="{9B0D898A-6DC8-4D3E-89B0-10D3918EA420}" destId="{BF101E78-F487-4F95-A195-79BD550EB815}" srcOrd="6" destOrd="0" presId="urn:microsoft.com/office/officeart/2005/8/layout/cycle2"/>
    <dgm:cxn modelId="{1A9ECE25-C754-43D0-B11A-34B429B149F2}" type="presParOf" srcId="{9B0D898A-6DC8-4D3E-89B0-10D3918EA420}" destId="{DF061083-02AC-45E9-839D-379E250890EB}" srcOrd="7" destOrd="0" presId="urn:microsoft.com/office/officeart/2005/8/layout/cycle2"/>
    <dgm:cxn modelId="{2C51FE14-3A54-4A4B-ADAA-0E08323AAE00}" type="presParOf" srcId="{DF061083-02AC-45E9-839D-379E250890EB}" destId="{DB544BF8-2EB2-4033-9A87-1E24A79E152C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2D36F599-C329-4938-8CD7-B7731C4E90C8}" type="doc">
      <dgm:prSet loTypeId="urn:microsoft.com/office/officeart/2005/8/layout/cycle5" loCatId="cycle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fr-MG"/>
        </a:p>
      </dgm:t>
    </dgm:pt>
    <dgm:pt modelId="{65AE1F2D-C409-456A-87B4-B674420D2672}">
      <dgm:prSet phldrT="[Texte]" custT="1"/>
      <dgm:spPr>
        <a:ln w="3175"/>
      </dgm:spPr>
      <dgm:t>
        <a:bodyPr/>
        <a:lstStyle/>
        <a:p>
          <a:r>
            <a:rPr lang="fr-FR" sz="1100">
              <a:latin typeface="Times New Roman" panose="02020603050405020304" pitchFamily="18" charset="0"/>
              <a:cs typeface="Times New Roman" panose="02020603050405020304" pitchFamily="18" charset="0"/>
            </a:rPr>
            <a:t>Puces</a:t>
          </a:r>
          <a:endParaRPr lang="fr-MG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5B9901D-ABCE-4880-96D3-76688DDA0E1C}" type="parTrans" cxnId="{385F2C21-ABCA-4F2D-AC3F-458D707A2CA5}">
      <dgm:prSet/>
      <dgm:spPr/>
      <dgm:t>
        <a:bodyPr/>
        <a:lstStyle/>
        <a:p>
          <a:endParaRPr lang="fr-MG"/>
        </a:p>
      </dgm:t>
    </dgm:pt>
    <dgm:pt modelId="{0CDD6BC0-168C-4D5C-A5EB-84DB0D41314F}" type="sibTrans" cxnId="{385F2C21-ABCA-4F2D-AC3F-458D707A2CA5}">
      <dgm:prSet/>
      <dgm:spPr>
        <a:ln w="3175"/>
      </dgm:spPr>
      <dgm:t>
        <a:bodyPr/>
        <a:lstStyle/>
        <a:p>
          <a:endParaRPr lang="fr-MG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3B93B01-EEFC-4901-89F0-E6AE696997E1}">
      <dgm:prSet phldrT="[Texte]" custT="1"/>
      <dgm:spPr>
        <a:ln w="3175"/>
      </dgm:spPr>
      <dgm:t>
        <a:bodyPr/>
        <a:lstStyle/>
        <a:p>
          <a:r>
            <a:rPr lang="fr-FR" sz="1100">
              <a:latin typeface="Times New Roman" panose="02020603050405020304" pitchFamily="18" charset="0"/>
              <a:cs typeface="Times New Roman" panose="02020603050405020304" pitchFamily="18" charset="0"/>
            </a:rPr>
            <a:t>Rats domestiques</a:t>
          </a:r>
          <a:endParaRPr lang="fr-MG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E346D3A-E651-4AB8-B091-660D28587E41}" type="parTrans" cxnId="{5C386719-658B-46A9-91A4-B9CD0F1C178E}">
      <dgm:prSet/>
      <dgm:spPr/>
      <dgm:t>
        <a:bodyPr/>
        <a:lstStyle/>
        <a:p>
          <a:endParaRPr lang="fr-MG"/>
        </a:p>
      </dgm:t>
    </dgm:pt>
    <dgm:pt modelId="{4FF25C66-7666-4C47-8F83-9771AA0EFB0D}" type="sibTrans" cxnId="{5C386719-658B-46A9-91A4-B9CD0F1C178E}">
      <dgm:prSet/>
      <dgm:spPr>
        <a:ln w="3175"/>
      </dgm:spPr>
      <dgm:t>
        <a:bodyPr/>
        <a:lstStyle/>
        <a:p>
          <a:endParaRPr lang="fr-MG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6F7A235-A6A1-420F-BF5D-67283F7E0FF3}">
      <dgm:prSet phldrT="[Texte]" custT="1"/>
      <dgm:spPr>
        <a:ln w="3175"/>
      </dgm:spPr>
      <dgm:t>
        <a:bodyPr/>
        <a:lstStyle/>
        <a:p>
          <a:r>
            <a:rPr lang="fr-FR" sz="1100">
              <a:latin typeface="Times New Roman" panose="02020603050405020304" pitchFamily="18" charset="0"/>
              <a:cs typeface="Times New Roman" panose="02020603050405020304" pitchFamily="18" charset="0"/>
            </a:rPr>
            <a:t>Puces</a:t>
          </a:r>
          <a:endParaRPr lang="fr-MG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C438A3D-A344-4CAC-B44D-AA840544C701}" type="parTrans" cxnId="{52108355-5485-43C0-9FF2-6590F334CC10}">
      <dgm:prSet/>
      <dgm:spPr/>
      <dgm:t>
        <a:bodyPr/>
        <a:lstStyle/>
        <a:p>
          <a:endParaRPr lang="fr-MG"/>
        </a:p>
      </dgm:t>
    </dgm:pt>
    <dgm:pt modelId="{097B3C43-3B9B-4C70-9E93-CE1B96F4A18D}" type="sibTrans" cxnId="{52108355-5485-43C0-9FF2-6590F334CC10}">
      <dgm:prSet/>
      <dgm:spPr>
        <a:ln w="3175"/>
      </dgm:spPr>
      <dgm:t>
        <a:bodyPr/>
        <a:lstStyle/>
        <a:p>
          <a:endParaRPr lang="fr-MG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3F71013-F8C2-4674-8909-A3D3BF8D780C}">
      <dgm:prSet phldrT="[Texte]" custT="1"/>
      <dgm:spPr>
        <a:ln w="3175"/>
      </dgm:spPr>
      <dgm:t>
        <a:bodyPr/>
        <a:lstStyle/>
        <a:p>
          <a:r>
            <a:rPr lang="fr-FR" sz="1100">
              <a:latin typeface="Times New Roman" panose="02020603050405020304" pitchFamily="18" charset="0"/>
              <a:cs typeface="Times New Roman" panose="02020603050405020304" pitchFamily="18" charset="0"/>
            </a:rPr>
            <a:t>Rats domestiques</a:t>
          </a:r>
          <a:endParaRPr lang="fr-MG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342BF3D-2F93-496E-9EBB-B9D77926C065}" type="parTrans" cxnId="{7D3A4DC9-DCFF-48E9-B41F-4E22F8B97E3C}">
      <dgm:prSet/>
      <dgm:spPr/>
      <dgm:t>
        <a:bodyPr/>
        <a:lstStyle/>
        <a:p>
          <a:endParaRPr lang="fr-MG"/>
        </a:p>
      </dgm:t>
    </dgm:pt>
    <dgm:pt modelId="{845B7CB8-082D-4069-9C56-57623DD8D4D8}" type="sibTrans" cxnId="{7D3A4DC9-DCFF-48E9-B41F-4E22F8B97E3C}">
      <dgm:prSet/>
      <dgm:spPr>
        <a:ln w="3175"/>
      </dgm:spPr>
      <dgm:t>
        <a:bodyPr/>
        <a:lstStyle/>
        <a:p>
          <a:endParaRPr lang="fr-MG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86BA725-67BF-408E-ABB9-95A75D16BFD2}" type="pres">
      <dgm:prSet presAssocID="{2D36F599-C329-4938-8CD7-B7731C4E90C8}" presName="cycle" presStyleCnt="0">
        <dgm:presLayoutVars>
          <dgm:dir/>
          <dgm:resizeHandles val="exact"/>
        </dgm:presLayoutVars>
      </dgm:prSet>
      <dgm:spPr/>
    </dgm:pt>
    <dgm:pt modelId="{21D2DB97-F041-4E48-A3A2-E8FAB20D1C9D}" type="pres">
      <dgm:prSet presAssocID="{65AE1F2D-C409-456A-87B4-B674420D2672}" presName="node" presStyleLbl="node1" presStyleIdx="0" presStyleCnt="4" custScaleY="84456">
        <dgm:presLayoutVars>
          <dgm:bulletEnabled val="1"/>
        </dgm:presLayoutVars>
      </dgm:prSet>
      <dgm:spPr/>
    </dgm:pt>
    <dgm:pt modelId="{66813E2F-EC16-49D0-9FC0-5ED8DC8A95F2}" type="pres">
      <dgm:prSet presAssocID="{65AE1F2D-C409-456A-87B4-B674420D2672}" presName="spNode" presStyleCnt="0"/>
      <dgm:spPr/>
    </dgm:pt>
    <dgm:pt modelId="{875E1BD1-6C02-4F2E-80D5-D7A4A9EE6315}" type="pres">
      <dgm:prSet presAssocID="{0CDD6BC0-168C-4D5C-A5EB-84DB0D41314F}" presName="sibTrans" presStyleLbl="sibTrans1D1" presStyleIdx="0" presStyleCnt="4"/>
      <dgm:spPr/>
    </dgm:pt>
    <dgm:pt modelId="{9B59B063-F03C-4141-BA75-3D5E7151B686}" type="pres">
      <dgm:prSet presAssocID="{C3B93B01-EEFC-4901-89F0-E6AE696997E1}" presName="node" presStyleLbl="node1" presStyleIdx="1" presStyleCnt="4" custScaleX="118909">
        <dgm:presLayoutVars>
          <dgm:bulletEnabled val="1"/>
        </dgm:presLayoutVars>
      </dgm:prSet>
      <dgm:spPr/>
    </dgm:pt>
    <dgm:pt modelId="{B1B96D73-A4A9-44B4-B08F-BB74640F2FD7}" type="pres">
      <dgm:prSet presAssocID="{C3B93B01-EEFC-4901-89F0-E6AE696997E1}" presName="spNode" presStyleCnt="0"/>
      <dgm:spPr/>
    </dgm:pt>
    <dgm:pt modelId="{4045BEFA-91E6-4194-9D4C-3AD79F8E53CE}" type="pres">
      <dgm:prSet presAssocID="{4FF25C66-7666-4C47-8F83-9771AA0EFB0D}" presName="sibTrans" presStyleLbl="sibTrans1D1" presStyleIdx="1" presStyleCnt="4"/>
      <dgm:spPr/>
    </dgm:pt>
    <dgm:pt modelId="{AC2AC907-2F79-42F5-A64E-AB7863AC3064}" type="pres">
      <dgm:prSet presAssocID="{56F7A235-A6A1-420F-BF5D-67283F7E0FF3}" presName="node" presStyleLbl="node1" presStyleIdx="2" presStyleCnt="4" custScaleY="78203">
        <dgm:presLayoutVars>
          <dgm:bulletEnabled val="1"/>
        </dgm:presLayoutVars>
      </dgm:prSet>
      <dgm:spPr/>
    </dgm:pt>
    <dgm:pt modelId="{8CA0E572-36A3-4A94-A991-F6B4E2BEFB2C}" type="pres">
      <dgm:prSet presAssocID="{56F7A235-A6A1-420F-BF5D-67283F7E0FF3}" presName="spNode" presStyleCnt="0"/>
      <dgm:spPr/>
    </dgm:pt>
    <dgm:pt modelId="{FB6C5EF7-FCDD-4B75-BD2F-592A49F8EA03}" type="pres">
      <dgm:prSet presAssocID="{097B3C43-3B9B-4C70-9E93-CE1B96F4A18D}" presName="sibTrans" presStyleLbl="sibTrans1D1" presStyleIdx="2" presStyleCnt="4"/>
      <dgm:spPr/>
    </dgm:pt>
    <dgm:pt modelId="{B539AB6E-BCF0-4153-86F0-07A9AB603905}" type="pres">
      <dgm:prSet presAssocID="{43F71013-F8C2-4674-8909-A3D3BF8D780C}" presName="node" presStyleLbl="node1" presStyleIdx="3" presStyleCnt="4" custScaleX="120036">
        <dgm:presLayoutVars>
          <dgm:bulletEnabled val="1"/>
        </dgm:presLayoutVars>
      </dgm:prSet>
      <dgm:spPr/>
    </dgm:pt>
    <dgm:pt modelId="{BF05E0C5-ACC2-4CA4-8C07-C6DD47C7384C}" type="pres">
      <dgm:prSet presAssocID="{43F71013-F8C2-4674-8909-A3D3BF8D780C}" presName="spNode" presStyleCnt="0"/>
      <dgm:spPr/>
    </dgm:pt>
    <dgm:pt modelId="{7EAA2CD4-F61A-48B2-B57F-A3DC98DB462F}" type="pres">
      <dgm:prSet presAssocID="{845B7CB8-082D-4069-9C56-57623DD8D4D8}" presName="sibTrans" presStyleLbl="sibTrans1D1" presStyleIdx="3" presStyleCnt="4"/>
      <dgm:spPr/>
    </dgm:pt>
  </dgm:ptLst>
  <dgm:cxnLst>
    <dgm:cxn modelId="{5C386719-658B-46A9-91A4-B9CD0F1C178E}" srcId="{2D36F599-C329-4938-8CD7-B7731C4E90C8}" destId="{C3B93B01-EEFC-4901-89F0-E6AE696997E1}" srcOrd="1" destOrd="0" parTransId="{8E346D3A-E651-4AB8-B091-660D28587E41}" sibTransId="{4FF25C66-7666-4C47-8F83-9771AA0EFB0D}"/>
    <dgm:cxn modelId="{AF5C6A19-B06D-4658-9E3C-DECFCF1A9194}" type="presOf" srcId="{845B7CB8-082D-4069-9C56-57623DD8D4D8}" destId="{7EAA2CD4-F61A-48B2-B57F-A3DC98DB462F}" srcOrd="0" destOrd="0" presId="urn:microsoft.com/office/officeart/2005/8/layout/cycle5"/>
    <dgm:cxn modelId="{3278E51A-D89A-4F32-906F-4CE5BB01FBBC}" type="presOf" srcId="{0CDD6BC0-168C-4D5C-A5EB-84DB0D41314F}" destId="{875E1BD1-6C02-4F2E-80D5-D7A4A9EE6315}" srcOrd="0" destOrd="0" presId="urn:microsoft.com/office/officeart/2005/8/layout/cycle5"/>
    <dgm:cxn modelId="{385F2C21-ABCA-4F2D-AC3F-458D707A2CA5}" srcId="{2D36F599-C329-4938-8CD7-B7731C4E90C8}" destId="{65AE1F2D-C409-456A-87B4-B674420D2672}" srcOrd="0" destOrd="0" parTransId="{E5B9901D-ABCE-4880-96D3-76688DDA0E1C}" sibTransId="{0CDD6BC0-168C-4D5C-A5EB-84DB0D41314F}"/>
    <dgm:cxn modelId="{876CEA31-8F47-4480-B7A0-469F78950928}" type="presOf" srcId="{65AE1F2D-C409-456A-87B4-B674420D2672}" destId="{21D2DB97-F041-4E48-A3A2-E8FAB20D1C9D}" srcOrd="0" destOrd="0" presId="urn:microsoft.com/office/officeart/2005/8/layout/cycle5"/>
    <dgm:cxn modelId="{C4F16A3C-A6CA-4D0C-94B5-DAAB81B12FFB}" type="presOf" srcId="{56F7A235-A6A1-420F-BF5D-67283F7E0FF3}" destId="{AC2AC907-2F79-42F5-A64E-AB7863AC3064}" srcOrd="0" destOrd="0" presId="urn:microsoft.com/office/officeart/2005/8/layout/cycle5"/>
    <dgm:cxn modelId="{F9BA654E-B076-4D24-AD36-0532814AE4CA}" type="presOf" srcId="{4FF25C66-7666-4C47-8F83-9771AA0EFB0D}" destId="{4045BEFA-91E6-4194-9D4C-3AD79F8E53CE}" srcOrd="0" destOrd="0" presId="urn:microsoft.com/office/officeart/2005/8/layout/cycle5"/>
    <dgm:cxn modelId="{FF44EF71-8C3C-4B6A-91B5-80349671DF23}" type="presOf" srcId="{097B3C43-3B9B-4C70-9E93-CE1B96F4A18D}" destId="{FB6C5EF7-FCDD-4B75-BD2F-592A49F8EA03}" srcOrd="0" destOrd="0" presId="urn:microsoft.com/office/officeart/2005/8/layout/cycle5"/>
    <dgm:cxn modelId="{52108355-5485-43C0-9FF2-6590F334CC10}" srcId="{2D36F599-C329-4938-8CD7-B7731C4E90C8}" destId="{56F7A235-A6A1-420F-BF5D-67283F7E0FF3}" srcOrd="2" destOrd="0" parTransId="{6C438A3D-A344-4CAC-B44D-AA840544C701}" sibTransId="{097B3C43-3B9B-4C70-9E93-CE1B96F4A18D}"/>
    <dgm:cxn modelId="{E94B8ABC-B2D4-4A1E-A723-51B29F0D3671}" type="presOf" srcId="{2D36F599-C329-4938-8CD7-B7731C4E90C8}" destId="{686BA725-67BF-408E-ABB9-95A75D16BFD2}" srcOrd="0" destOrd="0" presId="urn:microsoft.com/office/officeart/2005/8/layout/cycle5"/>
    <dgm:cxn modelId="{7D3A4DC9-DCFF-48E9-B41F-4E22F8B97E3C}" srcId="{2D36F599-C329-4938-8CD7-B7731C4E90C8}" destId="{43F71013-F8C2-4674-8909-A3D3BF8D780C}" srcOrd="3" destOrd="0" parTransId="{0342BF3D-2F93-496E-9EBB-B9D77926C065}" sibTransId="{845B7CB8-082D-4069-9C56-57623DD8D4D8}"/>
    <dgm:cxn modelId="{055FA5D6-4054-4AB1-998A-620652F8814A}" type="presOf" srcId="{C3B93B01-EEFC-4901-89F0-E6AE696997E1}" destId="{9B59B063-F03C-4141-BA75-3D5E7151B686}" srcOrd="0" destOrd="0" presId="urn:microsoft.com/office/officeart/2005/8/layout/cycle5"/>
    <dgm:cxn modelId="{223DB9D8-E373-42BA-B09F-F0BCEA6EC807}" type="presOf" srcId="{43F71013-F8C2-4674-8909-A3D3BF8D780C}" destId="{B539AB6E-BCF0-4153-86F0-07A9AB603905}" srcOrd="0" destOrd="0" presId="urn:microsoft.com/office/officeart/2005/8/layout/cycle5"/>
    <dgm:cxn modelId="{7056E759-1704-4566-99BC-2BAC188AF94B}" type="presParOf" srcId="{686BA725-67BF-408E-ABB9-95A75D16BFD2}" destId="{21D2DB97-F041-4E48-A3A2-E8FAB20D1C9D}" srcOrd="0" destOrd="0" presId="urn:microsoft.com/office/officeart/2005/8/layout/cycle5"/>
    <dgm:cxn modelId="{8410F35A-7C0D-49CB-BD1F-53464787EEDB}" type="presParOf" srcId="{686BA725-67BF-408E-ABB9-95A75D16BFD2}" destId="{66813E2F-EC16-49D0-9FC0-5ED8DC8A95F2}" srcOrd="1" destOrd="0" presId="urn:microsoft.com/office/officeart/2005/8/layout/cycle5"/>
    <dgm:cxn modelId="{1E94A8A8-D931-479B-9CDC-230A45A934D7}" type="presParOf" srcId="{686BA725-67BF-408E-ABB9-95A75D16BFD2}" destId="{875E1BD1-6C02-4F2E-80D5-D7A4A9EE6315}" srcOrd="2" destOrd="0" presId="urn:microsoft.com/office/officeart/2005/8/layout/cycle5"/>
    <dgm:cxn modelId="{4F76A7B6-0FD7-4829-9CD5-85949787072E}" type="presParOf" srcId="{686BA725-67BF-408E-ABB9-95A75D16BFD2}" destId="{9B59B063-F03C-4141-BA75-3D5E7151B686}" srcOrd="3" destOrd="0" presId="urn:microsoft.com/office/officeart/2005/8/layout/cycle5"/>
    <dgm:cxn modelId="{86463D6C-43CC-449D-AE94-F3D023E74DF6}" type="presParOf" srcId="{686BA725-67BF-408E-ABB9-95A75D16BFD2}" destId="{B1B96D73-A4A9-44B4-B08F-BB74640F2FD7}" srcOrd="4" destOrd="0" presId="urn:microsoft.com/office/officeart/2005/8/layout/cycle5"/>
    <dgm:cxn modelId="{5175A518-930B-4046-A65C-C7F0D80FE911}" type="presParOf" srcId="{686BA725-67BF-408E-ABB9-95A75D16BFD2}" destId="{4045BEFA-91E6-4194-9D4C-3AD79F8E53CE}" srcOrd="5" destOrd="0" presId="urn:microsoft.com/office/officeart/2005/8/layout/cycle5"/>
    <dgm:cxn modelId="{ED7B478F-E34B-4D42-B87E-C30B549AD674}" type="presParOf" srcId="{686BA725-67BF-408E-ABB9-95A75D16BFD2}" destId="{AC2AC907-2F79-42F5-A64E-AB7863AC3064}" srcOrd="6" destOrd="0" presId="urn:microsoft.com/office/officeart/2005/8/layout/cycle5"/>
    <dgm:cxn modelId="{1A21C40B-33C2-44C5-AFF2-BB95D1A02FF9}" type="presParOf" srcId="{686BA725-67BF-408E-ABB9-95A75D16BFD2}" destId="{8CA0E572-36A3-4A94-A991-F6B4E2BEFB2C}" srcOrd="7" destOrd="0" presId="urn:microsoft.com/office/officeart/2005/8/layout/cycle5"/>
    <dgm:cxn modelId="{A1B2DCBF-6A24-40BE-AB43-2E5853D094BA}" type="presParOf" srcId="{686BA725-67BF-408E-ABB9-95A75D16BFD2}" destId="{FB6C5EF7-FCDD-4B75-BD2F-592A49F8EA03}" srcOrd="8" destOrd="0" presId="urn:microsoft.com/office/officeart/2005/8/layout/cycle5"/>
    <dgm:cxn modelId="{C74C5D48-9810-475A-9420-D6239087EFD9}" type="presParOf" srcId="{686BA725-67BF-408E-ABB9-95A75D16BFD2}" destId="{B539AB6E-BCF0-4153-86F0-07A9AB603905}" srcOrd="9" destOrd="0" presId="urn:microsoft.com/office/officeart/2005/8/layout/cycle5"/>
    <dgm:cxn modelId="{0AEE9CE7-F6C4-4914-BE87-9356397F7047}" type="presParOf" srcId="{686BA725-67BF-408E-ABB9-95A75D16BFD2}" destId="{BF05E0C5-ACC2-4CA4-8C07-C6DD47C7384C}" srcOrd="10" destOrd="0" presId="urn:microsoft.com/office/officeart/2005/8/layout/cycle5"/>
    <dgm:cxn modelId="{054A0219-63BF-47E4-B6C4-772817AD4580}" type="presParOf" srcId="{686BA725-67BF-408E-ABB9-95A75D16BFD2}" destId="{7EAA2CD4-F61A-48B2-B57F-A3DC98DB462F}" srcOrd="11" destOrd="0" presId="urn:microsoft.com/office/officeart/2005/8/layout/cycle5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48ECF77-6399-4D40-913A-98D139228D4D}">
      <dsp:nvSpPr>
        <dsp:cNvPr id="0" name=""/>
        <dsp:cNvSpPr/>
      </dsp:nvSpPr>
      <dsp:spPr>
        <a:xfrm>
          <a:off x="871096" y="539"/>
          <a:ext cx="1149390" cy="700305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3175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Rongeurs sauvages </a:t>
          </a:r>
          <a:endParaRPr lang="fr-MG" sz="11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039420" y="103096"/>
        <a:ext cx="812742" cy="495191"/>
      </dsp:txXfrm>
    </dsp:sp>
    <dsp:sp modelId="{A918DD21-5F74-4238-849B-FF1C5F390007}">
      <dsp:nvSpPr>
        <dsp:cNvPr id="0" name=""/>
        <dsp:cNvSpPr/>
      </dsp:nvSpPr>
      <dsp:spPr>
        <a:xfrm rot="2700000">
          <a:off x="1766593" y="627366"/>
          <a:ext cx="148097" cy="236353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 w="3175"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MG" sz="11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73099" y="658929"/>
        <a:ext cx="103668" cy="141811"/>
      </dsp:txXfrm>
    </dsp:sp>
    <dsp:sp modelId="{74D3C3FE-3232-4278-9082-F65589F84F05}">
      <dsp:nvSpPr>
        <dsp:cNvPr id="0" name=""/>
        <dsp:cNvSpPr/>
      </dsp:nvSpPr>
      <dsp:spPr>
        <a:xfrm>
          <a:off x="1839841" y="744742"/>
          <a:ext cx="700305" cy="700305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3175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Puces </a:t>
          </a:r>
          <a:endParaRPr lang="fr-MG" sz="11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42398" y="847299"/>
        <a:ext cx="495191" cy="495191"/>
      </dsp:txXfrm>
    </dsp:sp>
    <dsp:sp modelId="{8D017122-9B44-43FB-944A-F2C6A3415F08}">
      <dsp:nvSpPr>
        <dsp:cNvPr id="0" name=""/>
        <dsp:cNvSpPr/>
      </dsp:nvSpPr>
      <dsp:spPr>
        <a:xfrm rot="8100000">
          <a:off x="1766923" y="1323300"/>
          <a:ext cx="152976" cy="236353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 w="3175"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MG" sz="11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1806095" y="1354345"/>
        <a:ext cx="107083" cy="141811"/>
      </dsp:txXfrm>
    </dsp:sp>
    <dsp:sp modelId="{B1B36B8A-79D8-4E67-BD41-8E9E737419E2}">
      <dsp:nvSpPr>
        <dsp:cNvPr id="0" name=""/>
        <dsp:cNvSpPr/>
      </dsp:nvSpPr>
      <dsp:spPr>
        <a:xfrm>
          <a:off x="913633" y="1488945"/>
          <a:ext cx="1064316" cy="700305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3175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Rongeurs sauvages</a:t>
          </a:r>
          <a:endParaRPr lang="fr-MG" sz="11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069498" y="1591502"/>
        <a:ext cx="752586" cy="495191"/>
      </dsp:txXfrm>
    </dsp:sp>
    <dsp:sp modelId="{7B4947A1-2DD1-495D-894A-6EBD550BBE63}">
      <dsp:nvSpPr>
        <dsp:cNvPr id="0" name=""/>
        <dsp:cNvSpPr/>
      </dsp:nvSpPr>
      <dsp:spPr>
        <a:xfrm rot="13500000">
          <a:off x="977805" y="1329423"/>
          <a:ext cx="152976" cy="236353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 w="3175"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MG" sz="11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1016977" y="1392920"/>
        <a:ext cx="107083" cy="141811"/>
      </dsp:txXfrm>
    </dsp:sp>
    <dsp:sp modelId="{BF101E78-F487-4F95-A195-79BD550EB815}">
      <dsp:nvSpPr>
        <dsp:cNvPr id="0" name=""/>
        <dsp:cNvSpPr/>
      </dsp:nvSpPr>
      <dsp:spPr>
        <a:xfrm>
          <a:off x="351436" y="744742"/>
          <a:ext cx="700305" cy="700305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3175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Puces</a:t>
          </a:r>
          <a:endParaRPr lang="fr-MG" sz="11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453993" y="847299"/>
        <a:ext cx="495191" cy="495191"/>
      </dsp:txXfrm>
    </dsp:sp>
    <dsp:sp modelId="{DF061083-02AC-45E9-839D-379E250890EB}">
      <dsp:nvSpPr>
        <dsp:cNvPr id="0" name=""/>
        <dsp:cNvSpPr/>
      </dsp:nvSpPr>
      <dsp:spPr>
        <a:xfrm rot="18900000">
          <a:off x="970964" y="633294"/>
          <a:ext cx="148097" cy="236353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 w="3175"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MG" sz="11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77470" y="696273"/>
        <a:ext cx="103668" cy="14181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1D2DB97-F041-4E48-A3A2-E8FAB20D1C9D}">
      <dsp:nvSpPr>
        <dsp:cNvPr id="0" name=""/>
        <dsp:cNvSpPr/>
      </dsp:nvSpPr>
      <dsp:spPr>
        <a:xfrm>
          <a:off x="1097556" y="48238"/>
          <a:ext cx="786435" cy="431724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3175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Puces</a:t>
          </a:r>
          <a:endParaRPr lang="fr-MG" sz="11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118631" y="69313"/>
        <a:ext cx="744285" cy="389574"/>
      </dsp:txXfrm>
    </dsp:sp>
    <dsp:sp modelId="{875E1BD1-6C02-4F2E-80D5-D7A4A9EE6315}">
      <dsp:nvSpPr>
        <dsp:cNvPr id="0" name=""/>
        <dsp:cNvSpPr/>
      </dsp:nvSpPr>
      <dsp:spPr>
        <a:xfrm>
          <a:off x="646849" y="264100"/>
          <a:ext cx="1687849" cy="1687849"/>
        </a:xfrm>
        <a:custGeom>
          <a:avLst/>
          <a:gdLst/>
          <a:ahLst/>
          <a:cxnLst/>
          <a:rect l="0" t="0" r="0" b="0"/>
          <a:pathLst>
            <a:path>
              <a:moveTo>
                <a:pt x="1345524" y="165244"/>
              </a:moveTo>
              <a:arcTo wR="843924" hR="843924" stAng="18388046" swAng="1632400"/>
            </a:path>
          </a:pathLst>
        </a:custGeom>
        <a:noFill/>
        <a:ln w="3175" cap="flat" cmpd="sng" algn="ctr">
          <a:solidFill>
            <a:scrgbClr r="0" g="0" b="0">
              <a:shade val="95000"/>
              <a:satMod val="105000"/>
            </a:scrgb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59B063-F03C-4141-BA75-3D5E7151B686}">
      <dsp:nvSpPr>
        <dsp:cNvPr id="0" name=""/>
        <dsp:cNvSpPr/>
      </dsp:nvSpPr>
      <dsp:spPr>
        <a:xfrm>
          <a:off x="1867127" y="852433"/>
          <a:ext cx="935142" cy="511183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3175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Rats domestiques</a:t>
          </a:r>
          <a:endParaRPr lang="fr-MG" sz="11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892081" y="877387"/>
        <a:ext cx="885234" cy="461275"/>
      </dsp:txXfrm>
    </dsp:sp>
    <dsp:sp modelId="{4045BEFA-91E6-4194-9D4C-3AD79F8E53CE}">
      <dsp:nvSpPr>
        <dsp:cNvPr id="0" name=""/>
        <dsp:cNvSpPr/>
      </dsp:nvSpPr>
      <dsp:spPr>
        <a:xfrm>
          <a:off x="646849" y="264100"/>
          <a:ext cx="1687849" cy="1687849"/>
        </a:xfrm>
        <a:custGeom>
          <a:avLst/>
          <a:gdLst/>
          <a:ahLst/>
          <a:cxnLst/>
          <a:rect l="0" t="0" r="0" b="0"/>
          <a:pathLst>
            <a:path>
              <a:moveTo>
                <a:pt x="1600322" y="1218185"/>
              </a:moveTo>
              <a:arcTo wR="843924" hR="843924" stAng="1579554" swAng="1632400"/>
            </a:path>
          </a:pathLst>
        </a:custGeom>
        <a:noFill/>
        <a:ln w="3175" cap="flat" cmpd="sng" algn="ctr">
          <a:solidFill>
            <a:scrgbClr r="0" g="0" b="0">
              <a:shade val="95000"/>
              <a:satMod val="105000"/>
            </a:scrgb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2AC907-2F79-42F5-A64E-AB7863AC3064}">
      <dsp:nvSpPr>
        <dsp:cNvPr id="0" name=""/>
        <dsp:cNvSpPr/>
      </dsp:nvSpPr>
      <dsp:spPr>
        <a:xfrm>
          <a:off x="1097556" y="1752069"/>
          <a:ext cx="786435" cy="399760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3175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Puces</a:t>
          </a:r>
          <a:endParaRPr lang="fr-MG" sz="11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117071" y="1771584"/>
        <a:ext cx="747405" cy="360730"/>
      </dsp:txXfrm>
    </dsp:sp>
    <dsp:sp modelId="{FB6C5EF7-FCDD-4B75-BD2F-592A49F8EA03}">
      <dsp:nvSpPr>
        <dsp:cNvPr id="0" name=""/>
        <dsp:cNvSpPr/>
      </dsp:nvSpPr>
      <dsp:spPr>
        <a:xfrm>
          <a:off x="646849" y="264100"/>
          <a:ext cx="1687849" cy="1687849"/>
        </a:xfrm>
        <a:custGeom>
          <a:avLst/>
          <a:gdLst/>
          <a:ahLst/>
          <a:cxnLst/>
          <a:rect l="0" t="0" r="0" b="0"/>
          <a:pathLst>
            <a:path>
              <a:moveTo>
                <a:pt x="342324" y="1522604"/>
              </a:moveTo>
              <a:arcTo wR="843924" hR="843924" stAng="7588046" swAng="1632400"/>
            </a:path>
          </a:pathLst>
        </a:custGeom>
        <a:noFill/>
        <a:ln w="3175" cap="flat" cmpd="sng" algn="ctr">
          <a:solidFill>
            <a:scrgbClr r="0" g="0" b="0">
              <a:shade val="95000"/>
              <a:satMod val="105000"/>
            </a:scrgb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39AB6E-BCF0-4153-86F0-07A9AB603905}">
      <dsp:nvSpPr>
        <dsp:cNvPr id="0" name=""/>
        <dsp:cNvSpPr/>
      </dsp:nvSpPr>
      <dsp:spPr>
        <a:xfrm>
          <a:off x="174846" y="852433"/>
          <a:ext cx="944005" cy="511183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3175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Rats domestiques</a:t>
          </a:r>
          <a:endParaRPr lang="fr-MG" sz="11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9800" y="877387"/>
        <a:ext cx="894097" cy="461275"/>
      </dsp:txXfrm>
    </dsp:sp>
    <dsp:sp modelId="{7EAA2CD4-F61A-48B2-B57F-A3DC98DB462F}">
      <dsp:nvSpPr>
        <dsp:cNvPr id="0" name=""/>
        <dsp:cNvSpPr/>
      </dsp:nvSpPr>
      <dsp:spPr>
        <a:xfrm>
          <a:off x="646849" y="264100"/>
          <a:ext cx="1687849" cy="1687849"/>
        </a:xfrm>
        <a:custGeom>
          <a:avLst/>
          <a:gdLst/>
          <a:ahLst/>
          <a:cxnLst/>
          <a:rect l="0" t="0" r="0" b="0"/>
          <a:pathLst>
            <a:path>
              <a:moveTo>
                <a:pt x="87526" y="469664"/>
              </a:moveTo>
              <a:arcTo wR="843924" hR="843924" stAng="12379554" swAng="1632400"/>
            </a:path>
          </a:pathLst>
        </a:custGeom>
        <a:noFill/>
        <a:ln w="3175" cap="flat" cmpd="sng" algn="ctr">
          <a:solidFill>
            <a:scrgbClr r="0" g="0" b="0">
              <a:shade val="95000"/>
              <a:satMod val="105000"/>
            </a:scrgb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ycle5">
  <dgm:title val=""/>
  <dgm:desc val=""/>
  <dgm:catLst>
    <dgm:cat type="cycle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fact="-1"/>
          <dgm:constr type="diam" for="ch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2"/>
                <dgm:constr type="endPad" refType="connDist" fact="0.2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663</Words>
  <Characters>3783</Characters>
  <Application>Microsoft Office Word</Application>
  <DocSecurity>0</DocSecurity>
  <Lines>31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22</vt:i4>
      </vt:variant>
    </vt:vector>
  </HeadingPairs>
  <TitlesOfParts>
    <vt:vector size="23" baseType="lpstr">
      <vt:lpstr/>
      <vt:lpstr>Introduction </vt:lpstr>
      <vt:lpstr>    Définition </vt:lpstr>
      <vt:lpstr>    Intérêts </vt:lpstr>
      <vt:lpstr>    Rappel clinique </vt:lpstr>
      <vt:lpstr>    Critère de laboratoire</vt:lpstr>
      <vt:lpstr>    Définition des cas </vt:lpstr>
      <vt:lpstr>Epidémiologie </vt:lpstr>
      <vt:lpstr>    Epidémiologie descriptive </vt:lpstr>
      <vt:lpstr>        Niveau mondial (2010 – 2015)</vt:lpstr>
      <vt:lpstr>        Madagascar </vt:lpstr>
      <vt:lpstr>    Epidémiologie analytique </vt:lpstr>
      <vt:lpstr>Méthode de lutte </vt:lpstr>
      <vt:lpstr>    Préventions </vt:lpstr>
      <vt:lpstr>        Objectifs </vt:lpstr>
      <vt:lpstr>        Actions de santé publique </vt:lpstr>
      <vt:lpstr>        Traitement des cas</vt:lpstr>
      <vt:lpstr>        Prophylaxie des contacts</vt:lpstr>
      <vt:lpstr>        Conduite à tenir devant un cas de décès</vt:lpstr>
      <vt:lpstr>    Surveillance</vt:lpstr>
      <vt:lpstr>        Cas humains</vt:lpstr>
      <vt:lpstr>        Réservoirs</vt:lpstr>
      <vt:lpstr>        Puces vectrices</vt:lpstr>
    </vt:vector>
  </TitlesOfParts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11</cp:revision>
  <dcterms:created xsi:type="dcterms:W3CDTF">2025-06-07T01:39:00Z</dcterms:created>
  <dcterms:modified xsi:type="dcterms:W3CDTF">2025-08-05T22:47:00Z</dcterms:modified>
</cp:coreProperties>
</file>