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4A4" w:rsidRDefault="000757A4" w:rsidP="00294D97">
      <w:pPr>
        <w:pStyle w:val="Titre"/>
      </w:pPr>
      <w:r>
        <w:t>Hernie hiatale et RGO</w:t>
      </w:r>
    </w:p>
    <w:p w:rsidR="00294D97" w:rsidRDefault="00294D97" w:rsidP="00294D97">
      <w:pPr>
        <w:jc w:val="right"/>
      </w:pPr>
    </w:p>
    <w:p w:rsidR="00294D97" w:rsidRDefault="000757A4" w:rsidP="00294D97">
      <w:pPr>
        <w:pStyle w:val="Titre1"/>
      </w:pPr>
      <w:r>
        <w:t>Introduction :</w:t>
      </w:r>
    </w:p>
    <w:p w:rsidR="000757A4" w:rsidRDefault="000757A4" w:rsidP="000757A4">
      <w:pPr>
        <w:pStyle w:val="Paragraphedeliste"/>
        <w:numPr>
          <w:ilvl w:val="0"/>
          <w:numId w:val="1"/>
        </w:numPr>
      </w:pPr>
      <w:r>
        <w:t>Hernie hiatale : ascension anormale d'une partie de l'estomac dans le thorax à travers l'hiatus œsophagien (par glissement ou par roulement)</w:t>
      </w:r>
    </w:p>
    <w:p w:rsidR="00A121B8" w:rsidRDefault="00A121B8" w:rsidP="000757A4">
      <w:pPr>
        <w:pStyle w:val="Paragraphedeliste"/>
        <w:numPr>
          <w:ilvl w:val="0"/>
          <w:numId w:val="1"/>
        </w:numPr>
      </w:pPr>
      <w:r>
        <w:t xml:space="preserve">Conséquence : défaillance du système anti-reflux </w:t>
      </w:r>
      <w:r w:rsidR="002C510D">
        <w:t>gastro-œ</w:t>
      </w:r>
      <w:r>
        <w:t>sophagienne et passage pathologique du contenu gastrique dans l’œsophage</w:t>
      </w:r>
    </w:p>
    <w:p w:rsidR="000449A3" w:rsidRDefault="000449A3" w:rsidP="000757A4">
      <w:pPr>
        <w:pStyle w:val="Paragraphedeliste"/>
        <w:numPr>
          <w:ilvl w:val="0"/>
          <w:numId w:val="1"/>
        </w:numPr>
      </w:pPr>
      <w:r>
        <w:t xml:space="preserve">Normalement à cause des moyens de fixation et le hiatus œsophagien </w:t>
      </w:r>
      <w:r w:rsidR="007A7223">
        <w:t>=&gt; l’estomac ne passe pas par le diaphragme</w:t>
      </w:r>
    </w:p>
    <w:p w:rsidR="007A7223" w:rsidRPr="006709FA" w:rsidRDefault="007A7223" w:rsidP="007A7223">
      <w:pPr>
        <w:pStyle w:val="Titre1"/>
        <w:rPr>
          <w:rFonts w:ascii="Fairwater Script" w:hAnsi="Fairwater Script"/>
        </w:rPr>
      </w:pPr>
      <w:r>
        <w:t xml:space="preserve">Physiopathologie </w:t>
      </w:r>
      <w:r w:rsidR="006709FA" w:rsidRPr="006709FA">
        <w:rPr>
          <w:rFonts w:ascii="Fairwater Script" w:hAnsi="Fairwater Script"/>
          <w:caps w:val="0"/>
        </w:rPr>
        <w:t xml:space="preserve">(les </w:t>
      </w:r>
      <w:r w:rsidR="006709FA">
        <w:rPr>
          <w:rFonts w:ascii="Fairwater Script" w:hAnsi="Fairwater Script"/>
          <w:caps w:val="0"/>
        </w:rPr>
        <w:t>lésions</w:t>
      </w:r>
      <w:r w:rsidR="006709FA" w:rsidRPr="006709FA">
        <w:rPr>
          <w:rFonts w:ascii="Fairwater Script" w:hAnsi="Fairwater Script"/>
          <w:caps w:val="0"/>
        </w:rPr>
        <w:t xml:space="preserve"> et ses conséquences) </w:t>
      </w:r>
      <w:r w:rsidR="006709FA">
        <w:t>:</w:t>
      </w:r>
    </w:p>
    <w:p w:rsidR="007A7223" w:rsidRDefault="007A7223" w:rsidP="007A7223">
      <w:pPr>
        <w:pStyle w:val="Paragraphedeliste"/>
        <w:numPr>
          <w:ilvl w:val="0"/>
          <w:numId w:val="1"/>
        </w:numPr>
      </w:pPr>
      <w:r>
        <w:t>Pression abdominale &gt; pression thoracique</w:t>
      </w:r>
    </w:p>
    <w:p w:rsidR="007A7223" w:rsidRDefault="007A7223" w:rsidP="007A7223">
      <w:pPr>
        <w:pStyle w:val="Paragraphedeliste"/>
        <w:numPr>
          <w:ilvl w:val="0"/>
          <w:numId w:val="1"/>
        </w:numPr>
      </w:pPr>
      <w:r>
        <w:t>Si défaillance du système anti-reflux : passage du contenu gastrique vers l’œsophage</w:t>
      </w:r>
    </w:p>
    <w:p w:rsidR="007A7223" w:rsidRDefault="007A7223" w:rsidP="007A7223">
      <w:pPr>
        <w:pStyle w:val="Paragraphedeliste"/>
        <w:numPr>
          <w:ilvl w:val="0"/>
          <w:numId w:val="1"/>
        </w:numPr>
      </w:pPr>
      <w:r>
        <w:t>Le système anti-reflux est anatomique et fonctionnel</w:t>
      </w:r>
      <w:r w:rsidR="006709FA">
        <w:t xml:space="preserve"> </w:t>
      </w:r>
    </w:p>
    <w:p w:rsidR="00F1117C" w:rsidRDefault="00F1117C" w:rsidP="00863E9A">
      <w:pPr>
        <w:pStyle w:val="Titre2"/>
      </w:pPr>
      <w:r>
        <w:t xml:space="preserve">Anatomique : </w:t>
      </w:r>
    </w:p>
    <w:p w:rsidR="00F1117C" w:rsidRDefault="00F1117C" w:rsidP="00F1117C">
      <w:pPr>
        <w:pStyle w:val="Paragraphedeliste"/>
        <w:numPr>
          <w:ilvl w:val="0"/>
          <w:numId w:val="1"/>
        </w:numPr>
      </w:pPr>
      <w:r>
        <w:t xml:space="preserve">Ligaments </w:t>
      </w:r>
      <w:proofErr w:type="spellStart"/>
      <w:r>
        <w:t>phréno</w:t>
      </w:r>
      <w:proofErr w:type="spellEnd"/>
      <w:r>
        <w:t xml:space="preserve">-œsophagiens et phréniques permettant une relative fixation </w:t>
      </w:r>
      <w:r w:rsidR="00A07A35">
        <w:t xml:space="preserve">de la jonction </w:t>
      </w:r>
      <w:proofErr w:type="spellStart"/>
      <w:r w:rsidR="00A07A35">
        <w:t>œso</w:t>
      </w:r>
      <w:proofErr w:type="spellEnd"/>
      <w:r w:rsidR="00A07A35">
        <w:t>-cardio-</w:t>
      </w:r>
      <w:proofErr w:type="spellStart"/>
      <w:r w:rsidR="00A07A35">
        <w:t>tubérositaire</w:t>
      </w:r>
      <w:proofErr w:type="spellEnd"/>
      <w:r w:rsidR="00A07A35">
        <w:t xml:space="preserve"> et de l’angle de </w:t>
      </w:r>
      <w:proofErr w:type="spellStart"/>
      <w:r w:rsidR="00A07A35">
        <w:t>His</w:t>
      </w:r>
      <w:proofErr w:type="spellEnd"/>
      <w:r w:rsidR="00A07A35">
        <w:t xml:space="preserve"> </w:t>
      </w:r>
    </w:p>
    <w:p w:rsidR="00A07A35" w:rsidRDefault="00A07A35" w:rsidP="00F1117C">
      <w:pPr>
        <w:pStyle w:val="Paragraphedeliste"/>
        <w:numPr>
          <w:ilvl w:val="0"/>
          <w:numId w:val="1"/>
        </w:numPr>
      </w:pPr>
      <w:r>
        <w:t xml:space="preserve">Il existe ainsi une portion de l’œsophage dans l’abdomen, et c’est sur ce segment </w:t>
      </w:r>
      <w:r w:rsidR="00863E9A">
        <w:t>œsophagien sous</w:t>
      </w:r>
      <w:r>
        <w:t xml:space="preserve"> diaphragmatique que s’exerce la pression abdominale</w:t>
      </w:r>
    </w:p>
    <w:p w:rsidR="00863E9A" w:rsidRDefault="00863E9A" w:rsidP="00863E9A">
      <w:pPr>
        <w:pStyle w:val="Titre2"/>
      </w:pPr>
      <w:r>
        <w:t xml:space="preserve">Fonctionnel : </w:t>
      </w:r>
    </w:p>
    <w:p w:rsidR="00863E9A" w:rsidRDefault="00863E9A" w:rsidP="00863E9A">
      <w:pPr>
        <w:pStyle w:val="Paragraphedeliste"/>
        <w:numPr>
          <w:ilvl w:val="0"/>
          <w:numId w:val="1"/>
        </w:numPr>
      </w:pPr>
      <w:r>
        <w:t>Il comporte :</w:t>
      </w:r>
    </w:p>
    <w:p w:rsidR="00863E9A" w:rsidRPr="00E16B61" w:rsidRDefault="00863E9A" w:rsidP="00863E9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Le sphincter inférieur de l’œsophage qui est le siège de relations synchronisés avec la déglutition</w:t>
      </w:r>
      <w:r w:rsidRPr="00E16B61">
        <w:rPr>
          <w:rFonts w:ascii="Fairwater Script" w:hAnsi="Fairwater Script"/>
        </w:rPr>
        <w:t xml:space="preserve"> </w:t>
      </w:r>
      <w:r w:rsidR="00E16B61" w:rsidRPr="00E16B61">
        <w:rPr>
          <w:rFonts w:ascii="Fairwater Script" w:hAnsi="Fairwater Script"/>
        </w:rPr>
        <w:t xml:space="preserve">(quant le bol alimentaire arrive au bas œsophage, le sphincter s’ouvre) </w:t>
      </w:r>
    </w:p>
    <w:p w:rsidR="00863E9A" w:rsidRDefault="00863E9A" w:rsidP="00863E9A">
      <w:pPr>
        <w:pStyle w:val="Paragraphedeliste"/>
        <w:numPr>
          <w:ilvl w:val="1"/>
          <w:numId w:val="1"/>
        </w:numPr>
      </w:pPr>
      <w:r w:rsidRPr="00E16B61">
        <w:t xml:space="preserve">Le diaphragme qui renforce le </w:t>
      </w:r>
      <w:r w:rsidRPr="00E16B61">
        <w:rPr>
          <w:rFonts w:ascii="Fairwater Script" w:hAnsi="Fairwater Script"/>
        </w:rPr>
        <w:t>t</w:t>
      </w:r>
      <w:r>
        <w:t xml:space="preserve">onus du bas œsophage à chaque inspiration </w:t>
      </w:r>
    </w:p>
    <w:p w:rsidR="00863E9A" w:rsidRDefault="00863E9A" w:rsidP="00863E9A">
      <w:pPr>
        <w:pStyle w:val="Paragraphedeliste"/>
        <w:numPr>
          <w:ilvl w:val="1"/>
          <w:numId w:val="1"/>
        </w:numPr>
      </w:pPr>
      <w:r>
        <w:t xml:space="preserve">Le péristaltisme œsophagien </w:t>
      </w:r>
    </w:p>
    <w:p w:rsidR="00D9512D" w:rsidRDefault="00D9512D" w:rsidP="00D9512D">
      <w:pPr>
        <w:pStyle w:val="Titre1"/>
      </w:pPr>
      <w:r>
        <w:t xml:space="preserve">Signes cliniques : </w:t>
      </w:r>
    </w:p>
    <w:p w:rsidR="00D9512D" w:rsidRDefault="00D9512D" w:rsidP="00D9512D">
      <w:pPr>
        <w:pStyle w:val="Titre2"/>
      </w:pPr>
      <w:r>
        <w:t xml:space="preserve">Signes digestifs : </w:t>
      </w:r>
    </w:p>
    <w:p w:rsidR="00D9512D" w:rsidRDefault="00D9512D" w:rsidP="00D9512D">
      <w:pPr>
        <w:pStyle w:val="Paragraphedeliste"/>
        <w:numPr>
          <w:ilvl w:val="0"/>
          <w:numId w:val="1"/>
        </w:numPr>
      </w:pPr>
      <w:r>
        <w:t xml:space="preserve">Rejets </w:t>
      </w:r>
      <w:r w:rsidR="00CC4A95">
        <w:t>alimentaire</w:t>
      </w:r>
      <w:r>
        <w:t xml:space="preserve"> </w:t>
      </w:r>
      <w:proofErr w:type="spellStart"/>
      <w:r>
        <w:t>post-prandiaux</w:t>
      </w:r>
      <w:proofErr w:type="spellEnd"/>
      <w:r>
        <w:t xml:space="preserve"> tardifs, à distinguer du rot physiologique suivant le repas. Les rejets peuvent être sanglants à l’origine d’une anémie</w:t>
      </w:r>
    </w:p>
    <w:p w:rsidR="00D9512D" w:rsidRDefault="00D9512D" w:rsidP="00D9512D">
      <w:pPr>
        <w:pStyle w:val="Paragraphedeliste"/>
        <w:numPr>
          <w:ilvl w:val="0"/>
          <w:numId w:val="1"/>
        </w:numPr>
      </w:pPr>
      <w:r>
        <w:t xml:space="preserve">Retard pondéral en raison de l’anorexie liée à l’irritation douloureuse de </w:t>
      </w:r>
      <w:r w:rsidR="00CC4A95">
        <w:t xml:space="preserve">l’œsophage </w:t>
      </w:r>
    </w:p>
    <w:p w:rsidR="00D36A4F" w:rsidRDefault="0081155B" w:rsidP="00770BC9">
      <w:pPr>
        <w:pStyle w:val="Titre2"/>
      </w:pPr>
      <w:r>
        <w:t xml:space="preserve">Signes neurologiques : </w:t>
      </w:r>
    </w:p>
    <w:p w:rsidR="0081155B" w:rsidRDefault="0081155B" w:rsidP="0081155B">
      <w:pPr>
        <w:pStyle w:val="Paragraphedeliste"/>
        <w:numPr>
          <w:ilvl w:val="0"/>
          <w:numId w:val="1"/>
        </w:numPr>
      </w:pPr>
      <w:r>
        <w:t xml:space="preserve">Irritabilité et troubles du sommeil </w:t>
      </w:r>
    </w:p>
    <w:p w:rsidR="0081155B" w:rsidRDefault="0081155B" w:rsidP="0081155B">
      <w:pPr>
        <w:pStyle w:val="Paragraphedeliste"/>
        <w:numPr>
          <w:ilvl w:val="0"/>
          <w:numId w:val="1"/>
        </w:numPr>
      </w:pPr>
      <w:r>
        <w:t xml:space="preserve">Attitude brusque en torticolis </w:t>
      </w:r>
    </w:p>
    <w:p w:rsidR="0081155B" w:rsidRDefault="0081155B" w:rsidP="0081155B">
      <w:pPr>
        <w:pStyle w:val="Paragraphedeliste"/>
        <w:numPr>
          <w:ilvl w:val="0"/>
          <w:numId w:val="1"/>
        </w:numPr>
      </w:pPr>
      <w:r>
        <w:t xml:space="preserve">Malaises graves avec </w:t>
      </w:r>
      <w:r w:rsidR="00770BC9">
        <w:t>pâleur</w:t>
      </w:r>
      <w:r>
        <w:t>, cyanose</w:t>
      </w:r>
    </w:p>
    <w:p w:rsidR="0081155B" w:rsidRDefault="0081155B" w:rsidP="0081155B">
      <w:pPr>
        <w:pStyle w:val="Paragraphedeliste"/>
        <w:numPr>
          <w:ilvl w:val="0"/>
          <w:numId w:val="1"/>
        </w:numPr>
      </w:pPr>
      <w:r>
        <w:t xml:space="preserve">Bradycardie réflexe, ou apnée </w:t>
      </w:r>
    </w:p>
    <w:p w:rsidR="0081155B" w:rsidRDefault="0081155B" w:rsidP="0081155B">
      <w:pPr>
        <w:pStyle w:val="Paragraphedeliste"/>
        <w:numPr>
          <w:ilvl w:val="0"/>
          <w:numId w:val="1"/>
        </w:numPr>
      </w:pPr>
      <w:r>
        <w:t xml:space="preserve">Risque de mort subite chez le nourrisson </w:t>
      </w:r>
    </w:p>
    <w:p w:rsidR="0029765E" w:rsidRDefault="0029765E" w:rsidP="0029765E">
      <w:pPr>
        <w:pStyle w:val="Titre2"/>
      </w:pPr>
      <w:r>
        <w:lastRenderedPageBreak/>
        <w:t xml:space="preserve">Signes respiratoires : </w:t>
      </w:r>
    </w:p>
    <w:p w:rsidR="0029765E" w:rsidRDefault="0029765E" w:rsidP="0029765E">
      <w:pPr>
        <w:pStyle w:val="Paragraphedeliste"/>
        <w:numPr>
          <w:ilvl w:val="0"/>
          <w:numId w:val="1"/>
        </w:numPr>
      </w:pPr>
      <w:r>
        <w:t xml:space="preserve">Bronchites à répétition </w:t>
      </w:r>
    </w:p>
    <w:p w:rsidR="0029765E" w:rsidRDefault="0029765E" w:rsidP="0029765E">
      <w:pPr>
        <w:pStyle w:val="Paragraphedeliste"/>
        <w:numPr>
          <w:ilvl w:val="0"/>
          <w:numId w:val="1"/>
        </w:numPr>
      </w:pPr>
      <w:r>
        <w:t xml:space="preserve">Bronchopathies </w:t>
      </w:r>
      <w:proofErr w:type="spellStart"/>
      <w:r>
        <w:t>asthmatiformes</w:t>
      </w:r>
      <w:proofErr w:type="spellEnd"/>
    </w:p>
    <w:p w:rsidR="0029765E" w:rsidRDefault="0029765E" w:rsidP="0029765E">
      <w:pPr>
        <w:pStyle w:val="Titre2"/>
      </w:pPr>
      <w:r>
        <w:t xml:space="preserve">Particularités des signes à l’âge de la marche : </w:t>
      </w:r>
    </w:p>
    <w:p w:rsidR="0029765E" w:rsidRDefault="0029765E" w:rsidP="0029765E">
      <w:pPr>
        <w:pStyle w:val="Paragraphedeliste"/>
        <w:numPr>
          <w:ilvl w:val="0"/>
          <w:numId w:val="1"/>
        </w:numPr>
      </w:pPr>
      <w:r>
        <w:t xml:space="preserve">Les rejets alimentaires ont tendance à disparaître </w:t>
      </w:r>
    </w:p>
    <w:p w:rsidR="0029765E" w:rsidRDefault="0029765E" w:rsidP="0029765E">
      <w:pPr>
        <w:pStyle w:val="Paragraphedeliste"/>
        <w:numPr>
          <w:ilvl w:val="0"/>
          <w:numId w:val="1"/>
        </w:numPr>
      </w:pPr>
      <w:r>
        <w:t>A la place</w:t>
      </w:r>
      <w:r w:rsidR="0050718F">
        <w:t> :</w:t>
      </w:r>
      <w:r>
        <w:t xml:space="preserve"> brûlures œsophagienne, douleurs abdominale hautes, </w:t>
      </w:r>
      <w:proofErr w:type="spellStart"/>
      <w:r>
        <w:t>retrosternale</w:t>
      </w:r>
      <w:proofErr w:type="spellEnd"/>
    </w:p>
    <w:p w:rsidR="0029765E" w:rsidRDefault="0029765E" w:rsidP="0029765E">
      <w:pPr>
        <w:pStyle w:val="Paragraphedeliste"/>
        <w:numPr>
          <w:ilvl w:val="0"/>
          <w:numId w:val="1"/>
        </w:numPr>
      </w:pPr>
      <w:r>
        <w:t xml:space="preserve">Les troubles respiratoires peuvent être prédominants v infections de la sphère ORL, bronchopathies récidivantes, toux nocturne quelle que soit la saison, maladies respiratoires chroniques </w:t>
      </w:r>
    </w:p>
    <w:p w:rsidR="008C2B7D" w:rsidRDefault="00975637" w:rsidP="00D275DC">
      <w:pPr>
        <w:pStyle w:val="Titre1"/>
      </w:pPr>
      <w:r>
        <w:t xml:space="preserve">Paracliniques : </w:t>
      </w:r>
    </w:p>
    <w:p w:rsidR="00975637" w:rsidRDefault="00975637" w:rsidP="00D275DC">
      <w:pPr>
        <w:pStyle w:val="Titre2"/>
      </w:pPr>
      <w:r>
        <w:t xml:space="preserve">Fibroscopie digestive haute : </w:t>
      </w:r>
    </w:p>
    <w:p w:rsidR="00975637" w:rsidRDefault="00975637" w:rsidP="00975637">
      <w:pPr>
        <w:pStyle w:val="Paragraphedeliste"/>
        <w:numPr>
          <w:ilvl w:val="0"/>
          <w:numId w:val="1"/>
        </w:numPr>
      </w:pPr>
      <w:r>
        <w:t xml:space="preserve">Confirme le diagnostic d’œsophagite </w:t>
      </w:r>
    </w:p>
    <w:p w:rsidR="00975637" w:rsidRDefault="00975637" w:rsidP="00975637">
      <w:pPr>
        <w:pStyle w:val="Paragraphedeliste"/>
        <w:numPr>
          <w:ilvl w:val="0"/>
          <w:numId w:val="1"/>
        </w:numPr>
      </w:pPr>
      <w:r>
        <w:t xml:space="preserve">Étudie la situation du cardio </w:t>
      </w:r>
    </w:p>
    <w:p w:rsidR="00975637" w:rsidRDefault="00975637" w:rsidP="00975637">
      <w:pPr>
        <w:pStyle w:val="Paragraphedeliste"/>
        <w:numPr>
          <w:ilvl w:val="0"/>
          <w:numId w:val="1"/>
        </w:numPr>
      </w:pPr>
      <w:r>
        <w:t xml:space="preserve">Apprécie l’aspect de la muqueuse gastrique </w:t>
      </w:r>
    </w:p>
    <w:p w:rsidR="00975637" w:rsidRDefault="00975637" w:rsidP="00D275DC">
      <w:pPr>
        <w:pStyle w:val="Titre2"/>
      </w:pPr>
      <w:r>
        <w:t xml:space="preserve">Radiographie </w:t>
      </w:r>
      <w:r w:rsidR="00D275DC">
        <w:t>+/- opacification :</w:t>
      </w:r>
    </w:p>
    <w:p w:rsidR="00D275DC" w:rsidRDefault="00D275DC" w:rsidP="00D275DC">
      <w:pPr>
        <w:pStyle w:val="Paragraphedeliste"/>
        <w:numPr>
          <w:ilvl w:val="0"/>
          <w:numId w:val="1"/>
        </w:numPr>
      </w:pPr>
      <w:r>
        <w:t>Étudie le cardia, le la longueur de l’œsophage abdominal, du pylore et du cadre duodénal</w:t>
      </w:r>
    </w:p>
    <w:p w:rsidR="00D275DC" w:rsidRDefault="00D275DC" w:rsidP="00D275DC">
      <w:pPr>
        <w:pStyle w:val="Paragraphedeliste"/>
        <w:numPr>
          <w:ilvl w:val="0"/>
          <w:numId w:val="1"/>
        </w:numPr>
      </w:pPr>
      <w:r>
        <w:t>Fondamental en cas de suspicion6de hernie hiatale avec poche médiastinale</w:t>
      </w:r>
    </w:p>
    <w:p w:rsidR="00D275DC" w:rsidRDefault="00D275DC" w:rsidP="00D275DC">
      <w:pPr>
        <w:pStyle w:val="Paragraphedeliste"/>
        <w:numPr>
          <w:ilvl w:val="0"/>
          <w:numId w:val="1"/>
        </w:numPr>
      </w:pPr>
      <w:r>
        <w:t xml:space="preserve">Indispensable avant toute décision chirurgicale </w:t>
      </w:r>
    </w:p>
    <w:p w:rsidR="00D275DC" w:rsidRDefault="00D275DC" w:rsidP="00D275DC">
      <w:pPr>
        <w:pStyle w:val="Paragraphedeliste"/>
        <w:numPr>
          <w:ilvl w:val="0"/>
          <w:numId w:val="1"/>
        </w:numPr>
      </w:pPr>
      <w:r>
        <w:t>S'impose dans la surveillance post-opératoire</w:t>
      </w:r>
    </w:p>
    <w:p w:rsidR="00D275DC" w:rsidRDefault="007558D4" w:rsidP="000D10DF">
      <w:pPr>
        <w:pStyle w:val="Titre2"/>
      </w:pPr>
      <w:r>
        <w:t xml:space="preserve">Échographie : </w:t>
      </w:r>
    </w:p>
    <w:p w:rsidR="007558D4" w:rsidRDefault="007558D4" w:rsidP="007558D4">
      <w:pPr>
        <w:pStyle w:val="Paragraphedeliste"/>
        <w:numPr>
          <w:ilvl w:val="0"/>
          <w:numId w:val="1"/>
        </w:numPr>
      </w:pPr>
      <w:r>
        <w:t xml:space="preserve">Permet : </w:t>
      </w:r>
    </w:p>
    <w:p w:rsidR="007558D4" w:rsidRDefault="007558D4" w:rsidP="007558D4">
      <w:pPr>
        <w:pStyle w:val="Paragraphedeliste"/>
        <w:numPr>
          <w:ilvl w:val="1"/>
          <w:numId w:val="1"/>
        </w:numPr>
      </w:pPr>
      <w:r>
        <w:t xml:space="preserve">De voir le reflux </w:t>
      </w:r>
    </w:p>
    <w:p w:rsidR="007558D4" w:rsidRDefault="007558D4" w:rsidP="007558D4">
      <w:pPr>
        <w:pStyle w:val="Paragraphedeliste"/>
        <w:numPr>
          <w:ilvl w:val="1"/>
          <w:numId w:val="1"/>
        </w:numPr>
      </w:pPr>
      <w:r>
        <w:t>De mesurer la longueur du segment œsophagien intra-abdominal</w:t>
      </w:r>
    </w:p>
    <w:p w:rsidR="007558D4" w:rsidRPr="000D10DF" w:rsidRDefault="00814CD4" w:rsidP="00814CD4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0D10DF">
        <w:rPr>
          <w:rFonts w:ascii="Fairwater Script" w:hAnsi="Fairwater Script"/>
        </w:rPr>
        <w:t>À Madagascar l’échographie n’est pas très important car n’importe qui se dit être échographe</w:t>
      </w:r>
    </w:p>
    <w:p w:rsidR="007A7223" w:rsidRDefault="00396B5A" w:rsidP="00396B5A">
      <w:pPr>
        <w:pStyle w:val="Titre1"/>
      </w:pPr>
      <w:r>
        <w:t xml:space="preserve">Traitement : </w:t>
      </w:r>
    </w:p>
    <w:p w:rsidR="00396B5A" w:rsidRDefault="00396B5A" w:rsidP="00396B5A">
      <w:pPr>
        <w:pStyle w:val="Titre2"/>
      </w:pPr>
      <w:r>
        <w:t xml:space="preserve">Médical : </w:t>
      </w:r>
    </w:p>
    <w:p w:rsidR="00396B5A" w:rsidRDefault="00396B5A" w:rsidP="00396B5A">
      <w:pPr>
        <w:pStyle w:val="Paragraphedeliste"/>
        <w:numPr>
          <w:ilvl w:val="0"/>
          <w:numId w:val="1"/>
        </w:numPr>
      </w:pPr>
      <w:r>
        <w:t xml:space="preserve">Épaississement des biberons pour diminuer les rejets (lait épaissie du GAVISCON) </w:t>
      </w:r>
    </w:p>
    <w:p w:rsidR="00396B5A" w:rsidRDefault="00396B5A" w:rsidP="00396B5A">
      <w:pPr>
        <w:pStyle w:val="Paragraphedeliste"/>
        <w:numPr>
          <w:ilvl w:val="0"/>
          <w:numId w:val="1"/>
        </w:numPr>
      </w:pPr>
      <w:r>
        <w:t xml:space="preserve">Positionnement en surélevant la partie supérieure du corps de 20 à 30° surtout en phase </w:t>
      </w:r>
      <w:proofErr w:type="spellStart"/>
      <w:r>
        <w:t>post-prandiale</w:t>
      </w:r>
      <w:proofErr w:type="spellEnd"/>
    </w:p>
    <w:p w:rsidR="00396B5A" w:rsidRDefault="00396B5A" w:rsidP="00396B5A">
      <w:pPr>
        <w:pStyle w:val="Paragraphedeliste"/>
        <w:numPr>
          <w:ilvl w:val="0"/>
          <w:numId w:val="1"/>
        </w:numPr>
      </w:pPr>
      <w:r>
        <w:t>Médicament gastro-</w:t>
      </w:r>
      <w:proofErr w:type="spellStart"/>
      <w:r>
        <w:t>kinétiques</w:t>
      </w:r>
      <w:proofErr w:type="spellEnd"/>
      <w:r>
        <w:t xml:space="preserve"> et inhibiteur de la sécrétion acide de type anti H2</w:t>
      </w:r>
    </w:p>
    <w:p w:rsidR="00396B5A" w:rsidRDefault="00396B5A" w:rsidP="00396B5A">
      <w:pPr>
        <w:pStyle w:val="Titre2"/>
      </w:pPr>
      <w:r>
        <w:t xml:space="preserve">Chirurgical </w:t>
      </w:r>
    </w:p>
    <w:p w:rsidR="00396B5A" w:rsidRDefault="00396B5A" w:rsidP="00396B5A">
      <w:pPr>
        <w:pStyle w:val="Paragraphedeliste"/>
        <w:numPr>
          <w:ilvl w:val="0"/>
          <w:numId w:val="1"/>
        </w:numPr>
      </w:pPr>
      <w:r>
        <w:t xml:space="preserve">Vise à : </w:t>
      </w:r>
    </w:p>
    <w:p w:rsidR="00396B5A" w:rsidRDefault="00396B5A" w:rsidP="00396B5A">
      <w:pPr>
        <w:pStyle w:val="Paragraphedeliste"/>
        <w:numPr>
          <w:ilvl w:val="1"/>
          <w:numId w:val="1"/>
        </w:numPr>
      </w:pPr>
      <w:r>
        <w:t xml:space="preserve">Abaisser l’œsophage pour créer un segment œsophagien intra-abdominal bien individualisé </w:t>
      </w:r>
    </w:p>
    <w:p w:rsidR="00396B5A" w:rsidRDefault="00396B5A" w:rsidP="00396B5A">
      <w:pPr>
        <w:pStyle w:val="Paragraphedeliste"/>
        <w:numPr>
          <w:ilvl w:val="1"/>
          <w:numId w:val="1"/>
        </w:numPr>
      </w:pPr>
      <w:r>
        <w:t xml:space="preserve">Rapprocher les piliers diaphragmatiques lorsque l’orifice hiatal est trop large </w:t>
      </w:r>
    </w:p>
    <w:p w:rsidR="00396B5A" w:rsidRDefault="00396B5A" w:rsidP="00396B5A">
      <w:pPr>
        <w:pStyle w:val="Paragraphedeliste"/>
        <w:numPr>
          <w:ilvl w:val="1"/>
          <w:numId w:val="1"/>
        </w:numPr>
      </w:pPr>
      <w:r>
        <w:t xml:space="preserve">Reconstituer une angulation entre oesophage6et grosse tubérosité gastrique </w:t>
      </w:r>
    </w:p>
    <w:p w:rsidR="00396B5A" w:rsidRDefault="00396B5A" w:rsidP="00396B5A">
      <w:pPr>
        <w:pStyle w:val="Paragraphedeliste"/>
        <w:numPr>
          <w:ilvl w:val="1"/>
          <w:numId w:val="1"/>
        </w:numPr>
      </w:pPr>
      <w:r>
        <w:t xml:space="preserve">Fixer l’œsophage Abaissée en position sous-diaphragmatique </w:t>
      </w:r>
    </w:p>
    <w:p w:rsidR="007A7223" w:rsidRPr="000757A4" w:rsidRDefault="00396B5A" w:rsidP="007A7223">
      <w:pPr>
        <w:pStyle w:val="Paragraphedeliste"/>
        <w:numPr>
          <w:ilvl w:val="1"/>
          <w:numId w:val="1"/>
        </w:numPr>
      </w:pPr>
      <w:r>
        <w:lastRenderedPageBreak/>
        <w:t xml:space="preserve">Créer une valve anti-reflux autour de l’œsophage abdominal </w:t>
      </w:r>
    </w:p>
    <w:sectPr w:rsidR="007A7223" w:rsidRPr="000757A4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5B04" w:rsidRDefault="00FA5B04" w:rsidP="00294D97">
      <w:pPr>
        <w:spacing w:before="0" w:after="0" w:line="240" w:lineRule="auto"/>
      </w:pPr>
      <w:r>
        <w:separator/>
      </w:r>
    </w:p>
  </w:endnote>
  <w:endnote w:type="continuationSeparator" w:id="0">
    <w:p w:rsidR="00FA5B04" w:rsidRDefault="00FA5B04" w:rsidP="00294D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00000001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001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44216268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77921044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5B04" w:rsidRDefault="00FA5B04" w:rsidP="00294D97">
      <w:pPr>
        <w:spacing w:before="0" w:after="0" w:line="240" w:lineRule="auto"/>
      </w:pPr>
      <w:r>
        <w:separator/>
      </w:r>
    </w:p>
  </w:footnote>
  <w:footnote w:type="continuationSeparator" w:id="0">
    <w:p w:rsidR="00FA5B04" w:rsidRDefault="00FA5B04" w:rsidP="00294D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4D97" w:rsidRDefault="00294D97" w:rsidP="00294D97">
    <w:pPr>
      <w:pStyle w:val="En-tte"/>
      <w:jc w:val="right"/>
    </w:pP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A2D40"/>
    <w:multiLevelType w:val="hybridMultilevel"/>
    <w:tmpl w:val="76004A06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14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97"/>
    <w:rsid w:val="000449A3"/>
    <w:rsid w:val="000757A4"/>
    <w:rsid w:val="000D10DF"/>
    <w:rsid w:val="002227D3"/>
    <w:rsid w:val="00294D97"/>
    <w:rsid w:val="0029765E"/>
    <w:rsid w:val="002C510D"/>
    <w:rsid w:val="00396B5A"/>
    <w:rsid w:val="0050718F"/>
    <w:rsid w:val="005F5B1B"/>
    <w:rsid w:val="00620B83"/>
    <w:rsid w:val="006312E3"/>
    <w:rsid w:val="006709FA"/>
    <w:rsid w:val="007558D4"/>
    <w:rsid w:val="00770BC9"/>
    <w:rsid w:val="007A7223"/>
    <w:rsid w:val="00800129"/>
    <w:rsid w:val="0081155B"/>
    <w:rsid w:val="00814CD4"/>
    <w:rsid w:val="00863E9A"/>
    <w:rsid w:val="008C2B7D"/>
    <w:rsid w:val="00911179"/>
    <w:rsid w:val="00975637"/>
    <w:rsid w:val="009E48A4"/>
    <w:rsid w:val="009F0590"/>
    <w:rsid w:val="00A07A35"/>
    <w:rsid w:val="00A121B8"/>
    <w:rsid w:val="00A15F22"/>
    <w:rsid w:val="00B7070B"/>
    <w:rsid w:val="00CC4A95"/>
    <w:rsid w:val="00D275DC"/>
    <w:rsid w:val="00D36A4F"/>
    <w:rsid w:val="00D9512D"/>
    <w:rsid w:val="00E16B61"/>
    <w:rsid w:val="00F1117C"/>
    <w:rsid w:val="00F67B21"/>
    <w:rsid w:val="00FA5B04"/>
    <w:rsid w:val="00FB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FC7C"/>
  <w15:chartTrackingRefBased/>
  <w15:docId w15:val="{C434DCF3-D93C-A44B-A4E5-030CD6EF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D97"/>
  </w:style>
  <w:style w:type="paragraph" w:styleId="Pieddepage">
    <w:name w:val="footer"/>
    <w:basedOn w:val="Normal"/>
    <w:link w:val="Pieddepag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D97"/>
  </w:style>
  <w:style w:type="character" w:styleId="Numrodepage">
    <w:name w:val="page number"/>
    <w:basedOn w:val="Policepardfaut"/>
    <w:uiPriority w:val="99"/>
    <w:semiHidden/>
    <w:unhideWhenUsed/>
    <w:rsid w:val="00294D97"/>
  </w:style>
  <w:style w:type="paragraph" w:styleId="Paragraphedeliste">
    <w:name w:val="List Paragraph"/>
    <w:basedOn w:val="Normal"/>
    <w:uiPriority w:val="34"/>
    <w:qFormat/>
    <w:rsid w:val="00075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2</TotalTime>
  <Pages>3</Pages>
  <Words>541</Words>
  <Characters>2981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</cp:revision>
  <dcterms:created xsi:type="dcterms:W3CDTF">2025-01-24T13:17:00Z</dcterms:created>
  <dcterms:modified xsi:type="dcterms:W3CDTF">2025-01-24T13:19:00Z</dcterms:modified>
</cp:coreProperties>
</file>