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F2394" w:rsidRDefault="001D1010" w:rsidP="001D1010">
      <w:pPr>
        <w:pStyle w:val="Titre"/>
      </w:pPr>
      <w:r>
        <w:t xml:space="preserve">Abcès du foie </w:t>
      </w:r>
    </w:p>
    <w:p w:rsidR="001D1010" w:rsidRDefault="001D1010" w:rsidP="001D1010">
      <w:pPr>
        <w:jc w:val="right"/>
      </w:pPr>
      <w:r>
        <w:t>Pr SAMISON Luc Hervé</w:t>
      </w:r>
    </w:p>
    <w:p w:rsidR="001D1010" w:rsidRDefault="00B80122" w:rsidP="00B42EB9">
      <w:pPr>
        <w:pStyle w:val="Titre1"/>
      </w:pPr>
      <w:r>
        <w:t>Introduction :</w:t>
      </w:r>
    </w:p>
    <w:p w:rsidR="00B80122" w:rsidRDefault="00B80122" w:rsidP="00B80122">
      <w:pPr>
        <w:pStyle w:val="Paragraphedeliste"/>
        <w:numPr>
          <w:ilvl w:val="0"/>
          <w:numId w:val="1"/>
        </w:numPr>
      </w:pPr>
      <w:r>
        <w:t xml:space="preserve">Abcès du foie = </w:t>
      </w:r>
      <w:r w:rsidRPr="00B42EB9">
        <w:rPr>
          <w:b/>
          <w:bCs/>
          <w:color w:val="00843B" w:themeColor="accent1"/>
        </w:rPr>
        <w:t>problème diagnostique</w:t>
      </w:r>
      <w:r>
        <w:t xml:space="preserve"> et </w:t>
      </w:r>
      <w:r w:rsidRPr="00B42EB9">
        <w:rPr>
          <w:b/>
          <w:bCs/>
          <w:color w:val="00843B" w:themeColor="accent1"/>
        </w:rPr>
        <w:t>thérapeutique</w:t>
      </w:r>
      <w:r>
        <w:t xml:space="preserve"> </w:t>
      </w:r>
    </w:p>
    <w:p w:rsidR="00B80122" w:rsidRDefault="00B80122" w:rsidP="00B80122">
      <w:pPr>
        <w:pStyle w:val="Paragraphedeliste"/>
        <w:numPr>
          <w:ilvl w:val="0"/>
          <w:numId w:val="1"/>
        </w:numPr>
      </w:pPr>
      <w:r>
        <w:t xml:space="preserve">Progrès dans la prise en charge </w:t>
      </w:r>
    </w:p>
    <w:p w:rsidR="00B80122" w:rsidRDefault="00B80122" w:rsidP="00B80122">
      <w:pPr>
        <w:pStyle w:val="Paragraphedeliste"/>
        <w:numPr>
          <w:ilvl w:val="0"/>
          <w:numId w:val="1"/>
        </w:numPr>
      </w:pPr>
      <w:r w:rsidRPr="00B42EB9">
        <w:rPr>
          <w:b/>
          <w:bCs/>
          <w:color w:val="00843B" w:themeColor="accent1"/>
        </w:rPr>
        <w:t>Deux type</w:t>
      </w:r>
      <w:r>
        <w:t xml:space="preserve"> d’abcès :</w:t>
      </w:r>
    </w:p>
    <w:p w:rsidR="00B80122" w:rsidRDefault="00B80122" w:rsidP="00B42EB9">
      <w:pPr>
        <w:pStyle w:val="Paragraphedeliste"/>
        <w:numPr>
          <w:ilvl w:val="1"/>
          <w:numId w:val="1"/>
        </w:numPr>
      </w:pPr>
      <w:r>
        <w:t xml:space="preserve">Abcès à germe pyogène </w:t>
      </w:r>
    </w:p>
    <w:p w:rsidR="00B80122" w:rsidRDefault="00B80122" w:rsidP="00B80122">
      <w:pPr>
        <w:pStyle w:val="Paragraphedeliste"/>
        <w:numPr>
          <w:ilvl w:val="1"/>
          <w:numId w:val="1"/>
        </w:numPr>
      </w:pPr>
      <w:r>
        <w:t xml:space="preserve">Abcès amibien </w:t>
      </w:r>
    </w:p>
    <w:p w:rsidR="00B80122" w:rsidRDefault="00B80122" w:rsidP="00B80122">
      <w:pPr>
        <w:pStyle w:val="Paragraphedeliste"/>
        <w:numPr>
          <w:ilvl w:val="0"/>
          <w:numId w:val="1"/>
        </w:numPr>
      </w:pPr>
      <w:r>
        <w:t xml:space="preserve">CMV cytomégalovirus et champignons rares </w:t>
      </w:r>
    </w:p>
    <w:p w:rsidR="00B42EB9" w:rsidRDefault="00B42EB9" w:rsidP="00B42EB9">
      <w:pPr>
        <w:pStyle w:val="Titre2"/>
      </w:pPr>
      <w:r>
        <w:t xml:space="preserve">Incidence : </w:t>
      </w:r>
    </w:p>
    <w:p w:rsidR="00B42EB9" w:rsidRDefault="00B42EB9" w:rsidP="00B42EB9">
      <w:pPr>
        <w:pStyle w:val="Paragraphedeliste"/>
        <w:numPr>
          <w:ilvl w:val="0"/>
          <w:numId w:val="1"/>
        </w:numPr>
      </w:pPr>
      <w:r w:rsidRPr="00E24785">
        <w:rPr>
          <w:b/>
          <w:bCs/>
          <w:color w:val="00843B" w:themeColor="accent1"/>
        </w:rPr>
        <w:t>Incidence élevée</w:t>
      </w:r>
      <w:r w:rsidRPr="00E24785">
        <w:rPr>
          <w:color w:val="00843B" w:themeColor="accent1"/>
        </w:rPr>
        <w:t xml:space="preserve"> </w:t>
      </w:r>
      <w:r>
        <w:t xml:space="preserve">dans les pays où les soins ne sont pas immédiatement disponibles </w:t>
      </w:r>
    </w:p>
    <w:p w:rsidR="00B42EB9" w:rsidRDefault="00B42EB9" w:rsidP="00B42EB9">
      <w:pPr>
        <w:pStyle w:val="Paragraphedeliste"/>
        <w:numPr>
          <w:ilvl w:val="0"/>
          <w:numId w:val="1"/>
        </w:numPr>
      </w:pPr>
      <w:r w:rsidRPr="00E24785">
        <w:rPr>
          <w:b/>
          <w:bCs/>
          <w:color w:val="00843B" w:themeColor="accent1"/>
        </w:rPr>
        <w:t>Amibiase hépatique</w:t>
      </w:r>
      <w:r w:rsidRPr="00E24785">
        <w:rPr>
          <w:color w:val="00843B" w:themeColor="accent1"/>
        </w:rPr>
        <w:t xml:space="preserve"> </w:t>
      </w:r>
      <w:r>
        <w:t xml:space="preserve">est estimée à 3 à 10% des </w:t>
      </w:r>
      <w:r w:rsidRPr="00E24785">
        <w:rPr>
          <w:b/>
          <w:bCs/>
        </w:rPr>
        <w:t>patients</w:t>
      </w:r>
      <w:r>
        <w:t xml:space="preserve"> </w:t>
      </w:r>
      <w:r w:rsidRPr="00E24785">
        <w:rPr>
          <w:b/>
          <w:bCs/>
        </w:rPr>
        <w:t>infestés</w:t>
      </w:r>
      <w:r>
        <w:t xml:space="preserve"> par amibe </w:t>
      </w:r>
    </w:p>
    <w:p w:rsidR="00B42EB9" w:rsidRPr="00E24785" w:rsidRDefault="00B42EB9" w:rsidP="00B42EB9">
      <w:pPr>
        <w:pStyle w:val="Paragraphedeliste"/>
        <w:numPr>
          <w:ilvl w:val="0"/>
          <w:numId w:val="1"/>
        </w:numPr>
      </w:pPr>
      <w:r w:rsidRPr="00E24785">
        <w:rPr>
          <w:b/>
          <w:bCs/>
          <w:color w:val="00843B" w:themeColor="accent1"/>
        </w:rPr>
        <w:t>Abcès du foie</w:t>
      </w:r>
      <w:r w:rsidRPr="00E24785">
        <w:rPr>
          <w:color w:val="00843B" w:themeColor="accent1"/>
        </w:rPr>
        <w:t xml:space="preserve"> </w:t>
      </w:r>
      <w:r>
        <w:t xml:space="preserve">affecte les </w:t>
      </w:r>
      <w:r w:rsidRPr="00E24785">
        <w:rPr>
          <w:b/>
          <w:bCs/>
          <w:color w:val="00843B" w:themeColor="accent1"/>
        </w:rPr>
        <w:t>deux sexes</w:t>
      </w:r>
      <w:r w:rsidRPr="00E24785">
        <w:rPr>
          <w:color w:val="00843B" w:themeColor="accent1"/>
        </w:rPr>
        <w:t xml:space="preserve"> </w:t>
      </w:r>
      <w:r>
        <w:t xml:space="preserve">et </w:t>
      </w:r>
      <w:r w:rsidRPr="00E24785">
        <w:rPr>
          <w:b/>
          <w:bCs/>
          <w:color w:val="00843B" w:themeColor="accent1"/>
        </w:rPr>
        <w:t>à tout âge</w:t>
      </w:r>
      <w:r>
        <w:t xml:space="preserve">, pic entre </w:t>
      </w:r>
      <w:r w:rsidRPr="00E24785">
        <w:rPr>
          <w:b/>
          <w:bCs/>
          <w:color w:val="00843B" w:themeColor="accent1"/>
        </w:rPr>
        <w:t>40 et 60 ans</w:t>
      </w:r>
      <w:r w:rsidRPr="00E24785">
        <w:rPr>
          <w:color w:val="00843B" w:themeColor="accent1"/>
        </w:rPr>
        <w:t xml:space="preserve"> </w:t>
      </w:r>
    </w:p>
    <w:p w:rsidR="00E24785" w:rsidRDefault="00E24785" w:rsidP="001F6966">
      <w:pPr>
        <w:pStyle w:val="Titre1"/>
      </w:pPr>
      <w:r>
        <w:t>Physiopathologie :</w:t>
      </w:r>
    </w:p>
    <w:p w:rsidR="00E24785" w:rsidRPr="00A103F7" w:rsidRDefault="00E24785" w:rsidP="00E24785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Physiopathologie met en jeu </w:t>
      </w:r>
      <w:r w:rsidRPr="00A103F7">
        <w:rPr>
          <w:b/>
          <w:bCs/>
        </w:rPr>
        <w:t>deux éléments principaux :</w:t>
      </w:r>
    </w:p>
    <w:p w:rsidR="00E24785" w:rsidRDefault="00E24785" w:rsidP="001F6966">
      <w:pPr>
        <w:pStyle w:val="Paragraphedeliste"/>
        <w:numPr>
          <w:ilvl w:val="0"/>
          <w:numId w:val="2"/>
        </w:numPr>
        <w:ind w:left="1068"/>
      </w:pPr>
      <w:r>
        <w:t xml:space="preserve">La présence des germes en cause </w:t>
      </w:r>
    </w:p>
    <w:p w:rsidR="001F6966" w:rsidRDefault="00E24785" w:rsidP="001F6966">
      <w:pPr>
        <w:pStyle w:val="Paragraphedeliste"/>
        <w:numPr>
          <w:ilvl w:val="0"/>
          <w:numId w:val="2"/>
        </w:numPr>
        <w:ind w:left="1068"/>
      </w:pPr>
      <w:r>
        <w:t xml:space="preserve">La vulnérabilité du </w:t>
      </w:r>
      <w:r w:rsidR="00506645">
        <w:t xml:space="preserve">foie </w:t>
      </w:r>
    </w:p>
    <w:p w:rsidR="00506645" w:rsidRDefault="00506645" w:rsidP="00506645">
      <w:pPr>
        <w:pStyle w:val="Paragraphedeliste"/>
        <w:numPr>
          <w:ilvl w:val="0"/>
          <w:numId w:val="1"/>
        </w:numPr>
      </w:pPr>
      <w:r w:rsidRPr="00A103F7">
        <w:rPr>
          <w:b/>
          <w:bCs/>
        </w:rPr>
        <w:t>L’envahissement du parenchyme</w:t>
      </w:r>
      <w:r>
        <w:t xml:space="preserve"> hépatique se fait à partir :</w:t>
      </w:r>
    </w:p>
    <w:p w:rsidR="00506645" w:rsidRDefault="00506645" w:rsidP="001F6966">
      <w:pPr>
        <w:pStyle w:val="Paragraphedeliste"/>
        <w:numPr>
          <w:ilvl w:val="0"/>
          <w:numId w:val="3"/>
        </w:numPr>
        <w:ind w:left="1068"/>
      </w:pPr>
      <w:r>
        <w:t xml:space="preserve">Du système porte </w:t>
      </w:r>
    </w:p>
    <w:p w:rsidR="00506645" w:rsidRDefault="00506645" w:rsidP="001F6966">
      <w:pPr>
        <w:pStyle w:val="Paragraphedeliste"/>
        <w:numPr>
          <w:ilvl w:val="0"/>
          <w:numId w:val="3"/>
        </w:numPr>
        <w:ind w:left="1068"/>
      </w:pPr>
      <w:r>
        <w:t xml:space="preserve">Des voies biliaires </w:t>
      </w:r>
    </w:p>
    <w:p w:rsidR="00506645" w:rsidRDefault="00506645" w:rsidP="001F6966">
      <w:pPr>
        <w:pStyle w:val="Paragraphedeliste"/>
        <w:numPr>
          <w:ilvl w:val="0"/>
          <w:numId w:val="3"/>
        </w:numPr>
        <w:ind w:left="1068"/>
      </w:pPr>
      <w:r>
        <w:t>De l’artère hépatique lors d’une septicémie généralisée</w:t>
      </w:r>
    </w:p>
    <w:p w:rsidR="00506645" w:rsidRDefault="00506645" w:rsidP="001F6966">
      <w:pPr>
        <w:pStyle w:val="Paragraphedeliste"/>
        <w:numPr>
          <w:ilvl w:val="0"/>
          <w:numId w:val="3"/>
        </w:numPr>
        <w:ind w:left="1068"/>
      </w:pPr>
      <w:r>
        <w:t xml:space="preserve">D’une extension directe d’une infection sous-hépatique </w:t>
      </w:r>
      <w:r w:rsidR="00921A88">
        <w:t>ou sous diaphragmatique</w:t>
      </w:r>
    </w:p>
    <w:p w:rsidR="00506645" w:rsidRDefault="00921A88" w:rsidP="001F6966">
      <w:pPr>
        <w:pStyle w:val="Paragraphedeliste"/>
        <w:numPr>
          <w:ilvl w:val="0"/>
          <w:numId w:val="3"/>
        </w:numPr>
        <w:ind w:left="1068"/>
      </w:pPr>
      <w:r>
        <w:t>D’une effraction directe par traumatisme</w:t>
      </w:r>
    </w:p>
    <w:p w:rsidR="001F6966" w:rsidRDefault="00D9287B" w:rsidP="00D9287B">
      <w:pPr>
        <w:pStyle w:val="Titre2"/>
      </w:pPr>
      <w:r>
        <w:t xml:space="preserve">Abcès </w:t>
      </w:r>
      <w:proofErr w:type="spellStart"/>
      <w:r>
        <w:t>pyogénique</w:t>
      </w:r>
      <w:proofErr w:type="spellEnd"/>
      <w:r>
        <w:t> :</w:t>
      </w:r>
    </w:p>
    <w:p w:rsidR="00D9287B" w:rsidRDefault="00D9287B" w:rsidP="00D9287B">
      <w:pPr>
        <w:pStyle w:val="Paragraphedeliste"/>
        <w:numPr>
          <w:ilvl w:val="0"/>
          <w:numId w:val="1"/>
        </w:numPr>
      </w:pPr>
      <w:r>
        <w:t xml:space="preserve">Lobe droit 3/1 </w:t>
      </w:r>
    </w:p>
    <w:p w:rsidR="00D9287B" w:rsidRDefault="00D9287B" w:rsidP="00D9287B">
      <w:pPr>
        <w:pStyle w:val="Paragraphedeliste"/>
        <w:numPr>
          <w:ilvl w:val="0"/>
          <w:numId w:val="1"/>
        </w:numPr>
      </w:pPr>
      <w:r>
        <w:t xml:space="preserve">Solitaire ou multiple </w:t>
      </w:r>
    </w:p>
    <w:p w:rsidR="00D9287B" w:rsidRDefault="00D9287B" w:rsidP="00D9287B">
      <w:pPr>
        <w:pStyle w:val="Paragraphedeliste"/>
        <w:numPr>
          <w:ilvl w:val="0"/>
          <w:numId w:val="1"/>
        </w:numPr>
      </w:pPr>
      <w:r>
        <w:t xml:space="preserve">1mm à plusieurs cm </w:t>
      </w:r>
    </w:p>
    <w:p w:rsidR="00D9287B" w:rsidRDefault="00D9287B" w:rsidP="00D9287B">
      <w:pPr>
        <w:pStyle w:val="Paragraphedeliste"/>
        <w:numPr>
          <w:ilvl w:val="0"/>
          <w:numId w:val="1"/>
        </w:numPr>
      </w:pPr>
      <w:r w:rsidRPr="00A103F7">
        <w:rPr>
          <w:b/>
          <w:bCs/>
        </w:rPr>
        <w:t xml:space="preserve">Germes : </w:t>
      </w:r>
      <w:r>
        <w:t xml:space="preserve">Escherichia Coli, </w:t>
      </w:r>
      <w:proofErr w:type="spellStart"/>
      <w:r>
        <w:t>Klebsiella</w:t>
      </w:r>
      <w:proofErr w:type="spellEnd"/>
      <w:r>
        <w:t>, Entérocoque</w:t>
      </w:r>
    </w:p>
    <w:p w:rsidR="00D9287B" w:rsidRDefault="00D9287B" w:rsidP="00D9287B">
      <w:pPr>
        <w:pStyle w:val="Paragraphedeliste"/>
        <w:numPr>
          <w:ilvl w:val="0"/>
          <w:numId w:val="1"/>
        </w:numPr>
      </w:pPr>
      <w:r w:rsidRPr="00A103F7">
        <w:rPr>
          <w:b/>
          <w:bCs/>
        </w:rPr>
        <w:t>Anaérobie :</w:t>
      </w:r>
      <w:r>
        <w:t xml:space="preserve"> </w:t>
      </w:r>
      <w:proofErr w:type="spellStart"/>
      <w:r>
        <w:t>Bactéroides</w:t>
      </w:r>
      <w:proofErr w:type="spellEnd"/>
      <w:r>
        <w:t xml:space="preserve">, Streptocoque anaérobie et </w:t>
      </w:r>
      <w:proofErr w:type="spellStart"/>
      <w:r>
        <w:t>fusobactérium</w:t>
      </w:r>
      <w:proofErr w:type="spellEnd"/>
      <w:r>
        <w:t xml:space="preserve"> </w:t>
      </w:r>
    </w:p>
    <w:p w:rsidR="00EF5123" w:rsidRDefault="00EF5123" w:rsidP="00C103A2">
      <w:pPr>
        <w:pStyle w:val="Titre2"/>
      </w:pPr>
      <w:r>
        <w:t>Abcès amibien :</w:t>
      </w:r>
    </w:p>
    <w:p w:rsidR="00EF5123" w:rsidRDefault="00EF5123" w:rsidP="00EF5123">
      <w:pPr>
        <w:pStyle w:val="Paragraphedeliste"/>
        <w:numPr>
          <w:ilvl w:val="0"/>
          <w:numId w:val="1"/>
        </w:numPr>
      </w:pPr>
      <w:r>
        <w:t xml:space="preserve">Suit l’infestation intestinale </w:t>
      </w:r>
    </w:p>
    <w:p w:rsidR="00EF5123" w:rsidRDefault="00EF5123" w:rsidP="00EF5123">
      <w:pPr>
        <w:pStyle w:val="Paragraphedeliste"/>
        <w:numPr>
          <w:ilvl w:val="0"/>
          <w:numId w:val="1"/>
        </w:numPr>
      </w:pPr>
      <w:r>
        <w:t xml:space="preserve">Plus par contact individuel </w:t>
      </w:r>
    </w:p>
    <w:p w:rsidR="00EF5123" w:rsidRDefault="00EF5123" w:rsidP="00EF5123">
      <w:pPr>
        <w:pStyle w:val="Paragraphedeliste"/>
        <w:numPr>
          <w:ilvl w:val="0"/>
          <w:numId w:val="1"/>
        </w:numPr>
      </w:pPr>
      <w:r>
        <w:t xml:space="preserve">Période de </w:t>
      </w:r>
      <w:r w:rsidRPr="00A2569F">
        <w:rPr>
          <w:b/>
          <w:bCs/>
        </w:rPr>
        <w:t>latence de quelques semaines</w:t>
      </w:r>
      <w:r>
        <w:t xml:space="preserve"> </w:t>
      </w:r>
    </w:p>
    <w:p w:rsidR="00EF5123" w:rsidRDefault="00EF5123" w:rsidP="00EF5123">
      <w:pPr>
        <w:pStyle w:val="Paragraphedeliste"/>
        <w:numPr>
          <w:ilvl w:val="0"/>
          <w:numId w:val="1"/>
        </w:numPr>
      </w:pPr>
      <w:r w:rsidRPr="00C103A2">
        <w:rPr>
          <w:b/>
          <w:bCs/>
        </w:rPr>
        <w:t>Zone de destruction se fusionne =</w:t>
      </w:r>
      <w:r>
        <w:t xml:space="preserve"> large cavité dans le lobe droit </w:t>
      </w:r>
    </w:p>
    <w:p w:rsidR="00EF5123" w:rsidRDefault="00EF5123" w:rsidP="00EF5123">
      <w:pPr>
        <w:pStyle w:val="Paragraphedeliste"/>
        <w:numPr>
          <w:ilvl w:val="0"/>
          <w:numId w:val="1"/>
        </w:numPr>
      </w:pPr>
      <w:r>
        <w:t xml:space="preserve">1 cm à 25 cm </w:t>
      </w:r>
    </w:p>
    <w:p w:rsidR="00EF5123" w:rsidRDefault="00EF5123" w:rsidP="00EF5123">
      <w:pPr>
        <w:pStyle w:val="Paragraphedeliste"/>
        <w:numPr>
          <w:ilvl w:val="0"/>
          <w:numId w:val="1"/>
        </w:numPr>
      </w:pPr>
      <w:r>
        <w:t xml:space="preserve">Pus </w:t>
      </w:r>
      <w:r w:rsidRPr="009D744B">
        <w:rPr>
          <w:b/>
          <w:bCs/>
          <w:color w:val="00843B" w:themeColor="accent1"/>
        </w:rPr>
        <w:t>chocolaté</w:t>
      </w:r>
      <w:r>
        <w:t xml:space="preserve"> </w:t>
      </w:r>
    </w:p>
    <w:p w:rsidR="00764B46" w:rsidRDefault="00764B46" w:rsidP="00E3215E">
      <w:pPr>
        <w:pStyle w:val="Titre1"/>
      </w:pPr>
      <w:r>
        <w:t>Diagnostic :</w:t>
      </w:r>
    </w:p>
    <w:p w:rsidR="00764B46" w:rsidRDefault="00764B46" w:rsidP="00764B46">
      <w:pPr>
        <w:pStyle w:val="Paragraphedeliste"/>
        <w:numPr>
          <w:ilvl w:val="0"/>
          <w:numId w:val="1"/>
        </w:numPr>
      </w:pPr>
      <w:r>
        <w:lastRenderedPageBreak/>
        <w:t xml:space="preserve">Diagnostic d’abcès hépatique = défi </w:t>
      </w:r>
    </w:p>
    <w:p w:rsidR="00764B46" w:rsidRDefault="00764B46" w:rsidP="00764B46">
      <w:pPr>
        <w:pStyle w:val="Paragraphedeliste"/>
        <w:numPr>
          <w:ilvl w:val="0"/>
          <w:numId w:val="1"/>
        </w:numPr>
      </w:pPr>
      <w:r>
        <w:t xml:space="preserve">Les signes cliniques aspécifiques </w:t>
      </w:r>
    </w:p>
    <w:p w:rsidR="00764B46" w:rsidRDefault="00764B46" w:rsidP="00764B46">
      <w:pPr>
        <w:pStyle w:val="Paragraphedeliste"/>
        <w:numPr>
          <w:ilvl w:val="0"/>
          <w:numId w:val="1"/>
        </w:numPr>
      </w:pPr>
      <w:r>
        <w:t xml:space="preserve">La </w:t>
      </w:r>
      <w:r w:rsidRPr="00BE74E6">
        <w:rPr>
          <w:b/>
          <w:bCs/>
          <w:color w:val="FF0000"/>
        </w:rPr>
        <w:t>différenciation précoce difficile</w:t>
      </w:r>
      <w:r>
        <w:t xml:space="preserve"> entre abcès </w:t>
      </w:r>
      <w:proofErr w:type="spellStart"/>
      <w:r>
        <w:t>pyogénique</w:t>
      </w:r>
      <w:proofErr w:type="spellEnd"/>
      <w:r>
        <w:t xml:space="preserve"> et amibien :</w:t>
      </w:r>
    </w:p>
    <w:p w:rsidR="00764B46" w:rsidRDefault="00764B46" w:rsidP="00764B46">
      <w:pPr>
        <w:pStyle w:val="Paragraphedeliste"/>
        <w:numPr>
          <w:ilvl w:val="1"/>
          <w:numId w:val="1"/>
        </w:numPr>
      </w:pPr>
      <w:r>
        <w:t>Similarité des signes</w:t>
      </w:r>
    </w:p>
    <w:p w:rsidR="00764B46" w:rsidRDefault="00764B46" w:rsidP="00764B46">
      <w:pPr>
        <w:pStyle w:val="Paragraphedeliste"/>
        <w:numPr>
          <w:ilvl w:val="1"/>
          <w:numId w:val="1"/>
        </w:numPr>
      </w:pPr>
      <w:r>
        <w:t xml:space="preserve">Similarités des symptômes </w:t>
      </w:r>
    </w:p>
    <w:p w:rsidR="00764B46" w:rsidRDefault="00764B46" w:rsidP="00764B46">
      <w:pPr>
        <w:pStyle w:val="Paragraphedeliste"/>
        <w:numPr>
          <w:ilvl w:val="1"/>
          <w:numId w:val="1"/>
        </w:numPr>
      </w:pPr>
      <w:r>
        <w:t xml:space="preserve">Similarité des aspects radiologiques </w:t>
      </w:r>
    </w:p>
    <w:p w:rsidR="00E3215E" w:rsidRDefault="00E3215E" w:rsidP="00E3215E">
      <w:pPr>
        <w:pStyle w:val="Paragraphedeliste"/>
        <w:numPr>
          <w:ilvl w:val="0"/>
          <w:numId w:val="1"/>
        </w:numPr>
      </w:pPr>
      <w:r w:rsidRPr="00BE74E6">
        <w:rPr>
          <w:b/>
          <w:bCs/>
          <w:color w:val="00843B" w:themeColor="accent1"/>
        </w:rPr>
        <w:t>Le tableau clinique</w:t>
      </w:r>
      <w:r>
        <w:t xml:space="preserve"> comporte :</w:t>
      </w:r>
    </w:p>
    <w:p w:rsidR="00E3215E" w:rsidRDefault="00E3215E" w:rsidP="00E3215E">
      <w:pPr>
        <w:pStyle w:val="Paragraphedeliste"/>
        <w:numPr>
          <w:ilvl w:val="1"/>
          <w:numId w:val="1"/>
        </w:numPr>
      </w:pPr>
      <w:r>
        <w:t xml:space="preserve">Fièvre élevée + Frisson </w:t>
      </w:r>
    </w:p>
    <w:p w:rsidR="00E3215E" w:rsidRDefault="00E3215E" w:rsidP="00E3215E">
      <w:pPr>
        <w:pStyle w:val="Paragraphedeliste"/>
        <w:numPr>
          <w:ilvl w:val="1"/>
          <w:numId w:val="1"/>
        </w:numPr>
      </w:pPr>
      <w:r>
        <w:t xml:space="preserve">Douleur de l’hypochondre droit ou de l’épigastre </w:t>
      </w:r>
    </w:p>
    <w:p w:rsidR="00E3215E" w:rsidRDefault="00E3215E" w:rsidP="00E3215E">
      <w:pPr>
        <w:pStyle w:val="Paragraphedeliste"/>
        <w:numPr>
          <w:ilvl w:val="1"/>
          <w:numId w:val="1"/>
        </w:numPr>
      </w:pPr>
      <w:r>
        <w:t xml:space="preserve">Malaise </w:t>
      </w:r>
    </w:p>
    <w:p w:rsidR="00E3215E" w:rsidRDefault="00E3215E" w:rsidP="00E3215E">
      <w:pPr>
        <w:pStyle w:val="Paragraphedeliste"/>
        <w:numPr>
          <w:ilvl w:val="1"/>
          <w:numId w:val="1"/>
        </w:numPr>
      </w:pPr>
      <w:r>
        <w:t xml:space="preserve">Anorexie </w:t>
      </w:r>
    </w:p>
    <w:p w:rsidR="00E3215E" w:rsidRDefault="00E3215E" w:rsidP="00E3215E">
      <w:pPr>
        <w:pStyle w:val="Paragraphedeliste"/>
        <w:numPr>
          <w:ilvl w:val="1"/>
          <w:numId w:val="1"/>
        </w:numPr>
      </w:pPr>
      <w:r>
        <w:t xml:space="preserve">Nausée </w:t>
      </w:r>
    </w:p>
    <w:p w:rsidR="00E3215E" w:rsidRDefault="00E3215E" w:rsidP="00E3215E">
      <w:pPr>
        <w:pStyle w:val="Paragraphedeliste"/>
        <w:numPr>
          <w:ilvl w:val="1"/>
          <w:numId w:val="1"/>
        </w:numPr>
      </w:pPr>
      <w:r>
        <w:t xml:space="preserve">Perte de poids </w:t>
      </w:r>
    </w:p>
    <w:p w:rsidR="00E3215E" w:rsidRDefault="00E3215E" w:rsidP="00E3215E">
      <w:pPr>
        <w:pStyle w:val="Paragraphedeliste"/>
        <w:numPr>
          <w:ilvl w:val="1"/>
          <w:numId w:val="1"/>
        </w:numPr>
      </w:pPr>
      <w:r>
        <w:t>Altération de l’état général</w:t>
      </w:r>
    </w:p>
    <w:p w:rsidR="00E3215E" w:rsidRDefault="00E3215E" w:rsidP="00E3215E">
      <w:pPr>
        <w:pStyle w:val="Paragraphedeliste"/>
        <w:numPr>
          <w:ilvl w:val="0"/>
          <w:numId w:val="1"/>
        </w:numPr>
      </w:pPr>
      <w:r w:rsidRPr="00BE74E6">
        <w:rPr>
          <w:b/>
          <w:bCs/>
          <w:color w:val="00843B" w:themeColor="accent1"/>
        </w:rPr>
        <w:t>L’examen physique</w:t>
      </w:r>
      <w:r>
        <w:t xml:space="preserve"> peut révéler une défense de l’hypochondre droit, matité hépatique à la percussion, hépatomégalie et ictère </w:t>
      </w:r>
    </w:p>
    <w:p w:rsidR="00DB5F3E" w:rsidRDefault="00DB5F3E" w:rsidP="00DB5F3E">
      <w:pPr>
        <w:pStyle w:val="Paragraphedeliste"/>
        <w:numPr>
          <w:ilvl w:val="0"/>
          <w:numId w:val="1"/>
        </w:numPr>
      </w:pPr>
      <w:r>
        <w:rPr>
          <w:b/>
          <w:bCs/>
          <w:color w:val="00843B" w:themeColor="accent1"/>
        </w:rPr>
        <w:t>Sur le plan biologique </w:t>
      </w:r>
      <w:r>
        <w:t>:</w:t>
      </w:r>
    </w:p>
    <w:p w:rsidR="00DB5F3E" w:rsidRPr="004019C3" w:rsidRDefault="00DB5F3E" w:rsidP="00DB5F3E">
      <w:pPr>
        <w:pStyle w:val="Paragraphedeliste"/>
        <w:numPr>
          <w:ilvl w:val="1"/>
          <w:numId w:val="1"/>
        </w:numPr>
      </w:pPr>
      <w:r w:rsidRPr="004019C3">
        <w:t xml:space="preserve">Elévation du CRP, protéine C Réactive </w:t>
      </w:r>
    </w:p>
    <w:p w:rsidR="00DB5F3E" w:rsidRPr="004019C3" w:rsidRDefault="00DB5F3E" w:rsidP="00DB5F3E">
      <w:pPr>
        <w:pStyle w:val="Paragraphedeliste"/>
        <w:numPr>
          <w:ilvl w:val="1"/>
          <w:numId w:val="1"/>
        </w:numPr>
      </w:pPr>
      <w:proofErr w:type="spellStart"/>
      <w:r w:rsidRPr="004019C3">
        <w:t>Hypoalbuminémie</w:t>
      </w:r>
      <w:proofErr w:type="spellEnd"/>
      <w:r w:rsidRPr="004019C3">
        <w:t xml:space="preserve"> quasi-constante </w:t>
      </w:r>
    </w:p>
    <w:p w:rsidR="00DB5F3E" w:rsidRPr="00DB5F3E" w:rsidRDefault="00DB5F3E" w:rsidP="00DB5F3E">
      <w:pPr>
        <w:pStyle w:val="Paragraphedeliste"/>
        <w:numPr>
          <w:ilvl w:val="0"/>
          <w:numId w:val="1"/>
        </w:numPr>
      </w:pPr>
      <w:r>
        <w:rPr>
          <w:b/>
          <w:bCs/>
          <w:color w:val="00843B" w:themeColor="accent1"/>
        </w:rPr>
        <w:t xml:space="preserve">Hémoculture = </w:t>
      </w:r>
      <w:r w:rsidRPr="00DB5F3E">
        <w:t xml:space="preserve">germe mis en cause </w:t>
      </w:r>
    </w:p>
    <w:p w:rsidR="00DB5F3E" w:rsidRDefault="00DB5F3E" w:rsidP="00DB5F3E">
      <w:pPr>
        <w:pStyle w:val="Paragraphedeliste"/>
        <w:numPr>
          <w:ilvl w:val="0"/>
          <w:numId w:val="1"/>
        </w:numPr>
      </w:pPr>
      <w:r>
        <w:rPr>
          <w:b/>
          <w:bCs/>
          <w:color w:val="00843B" w:themeColor="accent1"/>
        </w:rPr>
        <w:t xml:space="preserve">Ponction directe </w:t>
      </w:r>
      <w:r w:rsidRPr="00DB5F3E">
        <w:t xml:space="preserve">de l’abcès </w:t>
      </w:r>
    </w:p>
    <w:p w:rsidR="004019C3" w:rsidRPr="004019C3" w:rsidRDefault="004019C3" w:rsidP="00DB5F3E">
      <w:pPr>
        <w:pStyle w:val="Paragraphedeliste"/>
        <w:numPr>
          <w:ilvl w:val="0"/>
          <w:numId w:val="1"/>
        </w:numPr>
      </w:pPr>
      <w:r>
        <w:rPr>
          <w:b/>
          <w:bCs/>
          <w:color w:val="00843B" w:themeColor="accent1"/>
        </w:rPr>
        <w:t>Imagerie :</w:t>
      </w:r>
    </w:p>
    <w:p w:rsidR="005E2A35" w:rsidRDefault="00284B2E" w:rsidP="004019C3">
      <w:pPr>
        <w:pStyle w:val="Paragraphedeliste"/>
        <w:numPr>
          <w:ilvl w:val="1"/>
          <w:numId w:val="1"/>
        </w:numPr>
      </w:pPr>
      <w:r w:rsidRPr="00653088">
        <w:rPr>
          <w:b/>
          <w:bCs/>
        </w:rPr>
        <w:t>Echographie :</w:t>
      </w:r>
      <w:r w:rsidRPr="00653088">
        <w:t xml:space="preserve"> </w:t>
      </w:r>
    </w:p>
    <w:p w:rsidR="004019C3" w:rsidRDefault="005E2A35" w:rsidP="005E2A35">
      <w:pPr>
        <w:pStyle w:val="Paragraphedeliste"/>
        <w:numPr>
          <w:ilvl w:val="2"/>
          <w:numId w:val="1"/>
        </w:numPr>
      </w:pPr>
      <w:r>
        <w:t>C</w:t>
      </w:r>
      <w:r w:rsidR="00284B2E">
        <w:t xml:space="preserve">’est l’examen le plus utile en première intention pour détecter les abcès du foie </w:t>
      </w:r>
    </w:p>
    <w:p w:rsidR="00284B2E" w:rsidRPr="00513F42" w:rsidRDefault="00284B2E" w:rsidP="00284B2E">
      <w:pPr>
        <w:pStyle w:val="Paragraphedeliste"/>
        <w:numPr>
          <w:ilvl w:val="2"/>
          <w:numId w:val="1"/>
        </w:numPr>
      </w:pPr>
      <w:r w:rsidRPr="00513F42">
        <w:t xml:space="preserve">Hautement sensible </w:t>
      </w:r>
      <w:r w:rsidR="00513F42" w:rsidRPr="00513F42">
        <w:t>(85% à 95%)</w:t>
      </w:r>
    </w:p>
    <w:p w:rsidR="00513F42" w:rsidRDefault="00513F42" w:rsidP="00284B2E">
      <w:pPr>
        <w:pStyle w:val="Paragraphedeliste"/>
        <w:numPr>
          <w:ilvl w:val="2"/>
          <w:numId w:val="1"/>
        </w:numPr>
      </w:pPr>
      <w:r w:rsidRPr="00513F42">
        <w:t xml:space="preserve">Biopsie </w:t>
      </w:r>
    </w:p>
    <w:p w:rsidR="00513F42" w:rsidRPr="00653088" w:rsidRDefault="00513F42" w:rsidP="00513F42">
      <w:pPr>
        <w:pStyle w:val="Paragraphedeliste"/>
        <w:numPr>
          <w:ilvl w:val="1"/>
          <w:numId w:val="1"/>
        </w:numPr>
        <w:rPr>
          <w:b/>
          <w:bCs/>
        </w:rPr>
      </w:pPr>
      <w:r w:rsidRPr="00653088">
        <w:rPr>
          <w:b/>
          <w:bCs/>
        </w:rPr>
        <w:t>Scanner :</w:t>
      </w:r>
    </w:p>
    <w:p w:rsidR="00513F42" w:rsidRDefault="00513F42" w:rsidP="00513F42">
      <w:pPr>
        <w:pStyle w:val="Paragraphedeliste"/>
        <w:numPr>
          <w:ilvl w:val="2"/>
          <w:numId w:val="1"/>
        </w:numPr>
      </w:pPr>
      <w:r>
        <w:t>C’est la plus sensible (95% à 100%)</w:t>
      </w:r>
    </w:p>
    <w:p w:rsidR="00513F42" w:rsidRDefault="00513F42" w:rsidP="00513F42">
      <w:pPr>
        <w:pStyle w:val="Paragraphedeliste"/>
        <w:numPr>
          <w:ilvl w:val="2"/>
          <w:numId w:val="1"/>
        </w:numPr>
      </w:pPr>
      <w:r>
        <w:t xml:space="preserve">Il permet aussi bien le diagnostic qu’une  intervention thérapeutique </w:t>
      </w:r>
    </w:p>
    <w:p w:rsidR="00513F42" w:rsidRPr="00653088" w:rsidRDefault="00513F42" w:rsidP="00513F42">
      <w:pPr>
        <w:pStyle w:val="Paragraphedeliste"/>
        <w:numPr>
          <w:ilvl w:val="1"/>
          <w:numId w:val="1"/>
        </w:numPr>
        <w:rPr>
          <w:b/>
          <w:bCs/>
        </w:rPr>
      </w:pPr>
      <w:r w:rsidRPr="00653088">
        <w:rPr>
          <w:b/>
          <w:bCs/>
        </w:rPr>
        <w:t>Autres techniques :</w:t>
      </w:r>
    </w:p>
    <w:p w:rsidR="00513F42" w:rsidRDefault="00513F42" w:rsidP="00513F42">
      <w:pPr>
        <w:pStyle w:val="Paragraphedeliste"/>
        <w:numPr>
          <w:ilvl w:val="2"/>
          <w:numId w:val="1"/>
        </w:numPr>
      </w:pPr>
      <w:r>
        <w:t>Scintigraphie au Technétium est sensible</w:t>
      </w:r>
    </w:p>
    <w:p w:rsidR="00513F42" w:rsidRDefault="00513F42" w:rsidP="00513F42">
      <w:pPr>
        <w:pStyle w:val="Paragraphedeliste"/>
        <w:numPr>
          <w:ilvl w:val="2"/>
          <w:numId w:val="1"/>
        </w:numPr>
      </w:pPr>
      <w:r>
        <w:t>IRM</w:t>
      </w:r>
    </w:p>
    <w:p w:rsidR="00653088" w:rsidRDefault="00653088" w:rsidP="00653088">
      <w:pPr>
        <w:pStyle w:val="Titre1"/>
      </w:pPr>
      <w:r>
        <w:t>Traitement :</w:t>
      </w:r>
    </w:p>
    <w:p w:rsidR="00653088" w:rsidRDefault="00653088" w:rsidP="00653088">
      <w:pPr>
        <w:pStyle w:val="Paragraphedeliste"/>
        <w:numPr>
          <w:ilvl w:val="0"/>
          <w:numId w:val="1"/>
        </w:numPr>
      </w:pPr>
      <w:r>
        <w:t xml:space="preserve">Les traitements diffèrent selon l’étiologie </w:t>
      </w:r>
    </w:p>
    <w:p w:rsidR="00653088" w:rsidRDefault="00653088" w:rsidP="00653088">
      <w:pPr>
        <w:pStyle w:val="Paragraphedeliste"/>
        <w:numPr>
          <w:ilvl w:val="0"/>
          <w:numId w:val="1"/>
        </w:numPr>
      </w:pPr>
      <w:r>
        <w:t xml:space="preserve">Le traitement standard des </w:t>
      </w:r>
      <w:r w:rsidRPr="00DB2E14">
        <w:rPr>
          <w:b/>
          <w:bCs/>
        </w:rPr>
        <w:t xml:space="preserve">abcès </w:t>
      </w:r>
      <w:proofErr w:type="spellStart"/>
      <w:r w:rsidRPr="00DB2E14">
        <w:rPr>
          <w:b/>
          <w:bCs/>
        </w:rPr>
        <w:t>pyogénique</w:t>
      </w:r>
      <w:proofErr w:type="spellEnd"/>
      <w:r>
        <w:t xml:space="preserve"> sont basés sur le </w:t>
      </w:r>
      <w:r w:rsidRPr="005622EA">
        <w:rPr>
          <w:b/>
          <w:bCs/>
          <w:color w:val="00843B" w:themeColor="accent1"/>
        </w:rPr>
        <w:t>drainage externe</w:t>
      </w:r>
      <w:r w:rsidRPr="005622EA">
        <w:rPr>
          <w:color w:val="00843B" w:themeColor="accent1"/>
        </w:rPr>
        <w:t xml:space="preserve"> </w:t>
      </w:r>
      <w:r>
        <w:t xml:space="preserve">associé à une </w:t>
      </w:r>
      <w:r w:rsidRPr="005622EA">
        <w:rPr>
          <w:b/>
          <w:bCs/>
          <w:color w:val="00843B" w:themeColor="accent1"/>
        </w:rPr>
        <w:t>antibiothérapie appropriée</w:t>
      </w:r>
      <w:r w:rsidRPr="005622EA">
        <w:rPr>
          <w:color w:val="00843B" w:themeColor="accent1"/>
        </w:rPr>
        <w:t xml:space="preserve"> </w:t>
      </w:r>
    </w:p>
    <w:p w:rsidR="00592E91" w:rsidRDefault="00653088" w:rsidP="00592E91">
      <w:pPr>
        <w:pStyle w:val="Paragraphedeliste"/>
        <w:numPr>
          <w:ilvl w:val="0"/>
          <w:numId w:val="1"/>
        </w:numPr>
      </w:pPr>
      <w:r>
        <w:t xml:space="preserve">Inclure l’origine sous jacente de l’abcès. </w:t>
      </w:r>
    </w:p>
    <w:p w:rsidR="00653088" w:rsidRDefault="00653088" w:rsidP="00653088">
      <w:pPr>
        <w:pStyle w:val="Paragraphedeliste"/>
        <w:numPr>
          <w:ilvl w:val="0"/>
          <w:numId w:val="1"/>
        </w:numPr>
      </w:pPr>
      <w:r>
        <w:t xml:space="preserve">Le traitement d’un </w:t>
      </w:r>
      <w:r w:rsidRPr="005622EA">
        <w:rPr>
          <w:b/>
          <w:bCs/>
        </w:rPr>
        <w:t>abcès amibien</w:t>
      </w:r>
      <w:r>
        <w:t xml:space="preserve"> non-compliqué est a priori </w:t>
      </w:r>
      <w:r w:rsidRPr="005622EA">
        <w:rPr>
          <w:b/>
          <w:bCs/>
          <w:color w:val="00843B" w:themeColor="accent1"/>
        </w:rPr>
        <w:t>non-chirurgical</w:t>
      </w:r>
    </w:p>
    <w:p w:rsidR="00592E91" w:rsidRDefault="00592E91" w:rsidP="00E42F9F">
      <w:pPr>
        <w:pStyle w:val="Titre2"/>
      </w:pPr>
      <w:r>
        <w:t xml:space="preserve">Abcès </w:t>
      </w:r>
      <w:proofErr w:type="spellStart"/>
      <w:r>
        <w:t>pyogénique</w:t>
      </w:r>
      <w:proofErr w:type="spellEnd"/>
      <w:r>
        <w:t> :</w:t>
      </w:r>
    </w:p>
    <w:p w:rsidR="00592E91" w:rsidRDefault="00592E91" w:rsidP="00592E91">
      <w:pPr>
        <w:pStyle w:val="Paragraphedeliste"/>
        <w:numPr>
          <w:ilvl w:val="0"/>
          <w:numId w:val="1"/>
        </w:numPr>
      </w:pPr>
      <w:r>
        <w:t>Non traités, mortels dans 95 à 100%</w:t>
      </w:r>
      <w:r w:rsidR="009078B3">
        <w:t xml:space="preserve"> : par septicémie, rupture ou les deux </w:t>
      </w:r>
    </w:p>
    <w:p w:rsidR="009078B3" w:rsidRDefault="009078B3" w:rsidP="00592E91">
      <w:pPr>
        <w:pStyle w:val="Paragraphedeliste"/>
        <w:numPr>
          <w:ilvl w:val="0"/>
          <w:numId w:val="1"/>
        </w:numPr>
      </w:pPr>
      <w:r>
        <w:t xml:space="preserve">Rupture selon sa grandeur et sa localisation </w:t>
      </w:r>
    </w:p>
    <w:p w:rsidR="009078B3" w:rsidRDefault="009078B3" w:rsidP="00592E91">
      <w:pPr>
        <w:pStyle w:val="Paragraphedeliste"/>
        <w:numPr>
          <w:ilvl w:val="0"/>
          <w:numId w:val="1"/>
        </w:numPr>
      </w:pPr>
      <w:r>
        <w:t xml:space="preserve">Le traitement des abcès </w:t>
      </w:r>
      <w:proofErr w:type="spellStart"/>
      <w:r>
        <w:t>pyogéniques</w:t>
      </w:r>
      <w:proofErr w:type="spellEnd"/>
      <w:r>
        <w:t> :</w:t>
      </w:r>
    </w:p>
    <w:p w:rsidR="009078B3" w:rsidRPr="00B029F0" w:rsidRDefault="009078B3" w:rsidP="009078B3">
      <w:pPr>
        <w:pStyle w:val="Paragraphedeliste"/>
        <w:numPr>
          <w:ilvl w:val="0"/>
          <w:numId w:val="4"/>
        </w:numPr>
        <w:ind w:left="1068"/>
        <w:rPr>
          <w:b/>
          <w:bCs/>
          <w:color w:val="00843B" w:themeColor="accent1"/>
        </w:rPr>
      </w:pPr>
      <w:r w:rsidRPr="005E2A35">
        <w:rPr>
          <w:b/>
          <w:bCs/>
          <w:color w:val="00843B" w:themeColor="accent1"/>
          <w:u w:val="single"/>
        </w:rPr>
        <w:t xml:space="preserve">Une antibiothérapie </w:t>
      </w:r>
      <w:r w:rsidR="00B029F0" w:rsidRPr="005E2A35">
        <w:rPr>
          <w:b/>
          <w:bCs/>
          <w:color w:val="00843B" w:themeColor="accent1"/>
          <w:u w:val="single"/>
        </w:rPr>
        <w:t>intraveineuse</w:t>
      </w:r>
      <w:r w:rsidR="00F07196" w:rsidRPr="00B029F0">
        <w:rPr>
          <w:b/>
          <w:bCs/>
          <w:color w:val="00843B" w:themeColor="accent1"/>
        </w:rPr>
        <w:t> :</w:t>
      </w:r>
    </w:p>
    <w:p w:rsidR="00F07196" w:rsidRDefault="00F07196" w:rsidP="00F07196">
      <w:pPr>
        <w:pStyle w:val="Paragraphedeliste"/>
        <w:numPr>
          <w:ilvl w:val="1"/>
          <w:numId w:val="1"/>
        </w:numPr>
      </w:pPr>
      <w:r w:rsidRPr="0022143E">
        <w:rPr>
          <w:b/>
          <w:bCs/>
        </w:rPr>
        <w:t xml:space="preserve">Le schéma thérapeutique = </w:t>
      </w:r>
      <w:r>
        <w:t>aminoglycoside + antibiotique contre les germes anaérobies + pénicillines</w:t>
      </w:r>
    </w:p>
    <w:p w:rsidR="00F07196" w:rsidRDefault="00F07196" w:rsidP="00F07196">
      <w:pPr>
        <w:pStyle w:val="Paragraphedeliste"/>
        <w:numPr>
          <w:ilvl w:val="1"/>
          <w:numId w:val="1"/>
        </w:numPr>
      </w:pPr>
      <w:r>
        <w:lastRenderedPageBreak/>
        <w:t xml:space="preserve">Corrigé après le résultat de l’antibiogramme </w:t>
      </w:r>
    </w:p>
    <w:p w:rsidR="00F07196" w:rsidRPr="00B029F0" w:rsidRDefault="00F07196" w:rsidP="00F07196">
      <w:pPr>
        <w:pStyle w:val="Paragraphedeliste"/>
        <w:numPr>
          <w:ilvl w:val="1"/>
          <w:numId w:val="1"/>
        </w:numPr>
        <w:rPr>
          <w:b/>
          <w:bCs/>
          <w:color w:val="FF0000"/>
        </w:rPr>
      </w:pPr>
      <w:r w:rsidRPr="00B029F0">
        <w:rPr>
          <w:b/>
          <w:bCs/>
          <w:color w:val="FF0000"/>
        </w:rPr>
        <w:t xml:space="preserve">Respecter un délai de 1 à 2 jours d’antibiothérapie  avant le drainage </w:t>
      </w:r>
    </w:p>
    <w:p w:rsidR="009078B3" w:rsidRPr="00B029F0" w:rsidRDefault="009078B3" w:rsidP="009078B3">
      <w:pPr>
        <w:pStyle w:val="Paragraphedeliste"/>
        <w:numPr>
          <w:ilvl w:val="0"/>
          <w:numId w:val="4"/>
        </w:numPr>
        <w:ind w:left="1068"/>
        <w:rPr>
          <w:b/>
          <w:bCs/>
          <w:color w:val="00843B" w:themeColor="accent1"/>
        </w:rPr>
      </w:pPr>
      <w:r w:rsidRPr="005E2A35">
        <w:rPr>
          <w:b/>
          <w:bCs/>
          <w:color w:val="00843B" w:themeColor="accent1"/>
          <w:u w:val="single"/>
        </w:rPr>
        <w:t>Un drainage efficace</w:t>
      </w:r>
      <w:r w:rsidR="00FE0BA3" w:rsidRPr="00B029F0">
        <w:rPr>
          <w:b/>
          <w:bCs/>
          <w:color w:val="00843B" w:themeColor="accent1"/>
        </w:rPr>
        <w:t> :</w:t>
      </w:r>
    </w:p>
    <w:p w:rsidR="00FE0BA3" w:rsidRDefault="00FE0BA3" w:rsidP="00FE0BA3">
      <w:pPr>
        <w:pStyle w:val="Paragraphedeliste"/>
        <w:numPr>
          <w:ilvl w:val="1"/>
          <w:numId w:val="1"/>
        </w:numPr>
      </w:pPr>
      <w:r>
        <w:t xml:space="preserve">Drainage peut être fait par </w:t>
      </w:r>
      <w:r w:rsidRPr="005622EA">
        <w:rPr>
          <w:b/>
          <w:bCs/>
        </w:rPr>
        <w:t>voie percutanée</w:t>
      </w:r>
      <w:r>
        <w:t xml:space="preserve"> ou par </w:t>
      </w:r>
      <w:r w:rsidRPr="005622EA">
        <w:rPr>
          <w:b/>
          <w:bCs/>
        </w:rPr>
        <w:t xml:space="preserve">intervention </w:t>
      </w:r>
      <w:r w:rsidR="00137D44" w:rsidRPr="005622EA">
        <w:rPr>
          <w:b/>
          <w:bCs/>
        </w:rPr>
        <w:t>chirurgical</w:t>
      </w:r>
      <w:r>
        <w:t xml:space="preserve"> (accessibilité  de l’abcès</w:t>
      </w:r>
      <w:r w:rsidR="00E42F9F">
        <w:t xml:space="preserve">, nombre et volume, traitement de la cause sous-jacente) </w:t>
      </w:r>
    </w:p>
    <w:p w:rsidR="00137D44" w:rsidRDefault="00137D44" w:rsidP="00137D44">
      <w:pPr>
        <w:pStyle w:val="Titre2"/>
      </w:pPr>
      <w:r>
        <w:t>Abcès amibien :</w:t>
      </w:r>
    </w:p>
    <w:p w:rsidR="00137D44" w:rsidRDefault="00137D44" w:rsidP="00137D44">
      <w:pPr>
        <w:pStyle w:val="Paragraphedeliste"/>
        <w:numPr>
          <w:ilvl w:val="0"/>
          <w:numId w:val="1"/>
        </w:numPr>
      </w:pPr>
      <w:r>
        <w:t xml:space="preserve">S’il n’y a pas de rupture, ni infection secondaire </w:t>
      </w:r>
    </w:p>
    <w:p w:rsidR="00137D44" w:rsidRDefault="00137D44" w:rsidP="00137D44">
      <w:pPr>
        <w:pStyle w:val="Paragraphedeliste"/>
        <w:numPr>
          <w:ilvl w:val="0"/>
          <w:numId w:val="5"/>
        </w:numPr>
      </w:pPr>
      <w:r>
        <w:t>Les am</w:t>
      </w:r>
      <w:r w:rsidR="009350D1">
        <w:t>œ</w:t>
      </w:r>
      <w:r>
        <w:t xml:space="preserve">bicides sont les traitements de choix pour l’abcès amibien  du foie </w:t>
      </w:r>
    </w:p>
    <w:p w:rsidR="00137D44" w:rsidRDefault="00137D44" w:rsidP="00137D44">
      <w:pPr>
        <w:pStyle w:val="Paragraphedeliste"/>
        <w:numPr>
          <w:ilvl w:val="0"/>
          <w:numId w:val="1"/>
        </w:numPr>
      </w:pPr>
      <w:r>
        <w:t xml:space="preserve">Le meilleur reste le  </w:t>
      </w:r>
      <w:r w:rsidR="00C64EC0" w:rsidRPr="00C64EC0">
        <w:rPr>
          <w:b/>
          <w:bCs/>
          <w:u w:val="single"/>
        </w:rPr>
        <w:t>métronidazole</w:t>
      </w:r>
      <w:r>
        <w:t xml:space="preserve"> ou un apparenté par voie orale </w:t>
      </w:r>
    </w:p>
    <w:p w:rsidR="00137D44" w:rsidRDefault="00137D44" w:rsidP="00137D44">
      <w:pPr>
        <w:pStyle w:val="Paragraphedeliste"/>
        <w:numPr>
          <w:ilvl w:val="0"/>
          <w:numId w:val="1"/>
        </w:numPr>
      </w:pPr>
      <w:r>
        <w:t>Dose = 750 mg, trois fois par jour pendant 1</w:t>
      </w:r>
      <w:r w:rsidR="005132ED">
        <w:t xml:space="preserve"> </w:t>
      </w:r>
      <w:r>
        <w:t xml:space="preserve">à 2 semaine </w:t>
      </w:r>
    </w:p>
    <w:p w:rsidR="00137D44" w:rsidRDefault="00137D44" w:rsidP="00137D44">
      <w:pPr>
        <w:pStyle w:val="Paragraphedeliste"/>
        <w:numPr>
          <w:ilvl w:val="0"/>
          <w:numId w:val="1"/>
        </w:numPr>
      </w:pPr>
      <w:r>
        <w:t>Si le malade est trop faible, administration</w:t>
      </w:r>
      <w:r w:rsidR="00EA79C0">
        <w:t xml:space="preserve"> </w:t>
      </w:r>
      <w:r>
        <w:t xml:space="preserve">par voie veineuse </w:t>
      </w:r>
    </w:p>
    <w:p w:rsidR="00137D44" w:rsidRDefault="00137D44" w:rsidP="00137D44">
      <w:pPr>
        <w:pStyle w:val="Paragraphedeliste"/>
        <w:numPr>
          <w:ilvl w:val="0"/>
          <w:numId w:val="1"/>
        </w:numPr>
      </w:pPr>
      <w:r>
        <w:t xml:space="preserve">Les autres médicaments de recours sont : émétine, </w:t>
      </w:r>
      <w:proofErr w:type="spellStart"/>
      <w:r>
        <w:t>d</w:t>
      </w:r>
      <w:r w:rsidR="009350D1">
        <w:t>é</w:t>
      </w:r>
      <w:r>
        <w:t>hydroémétine</w:t>
      </w:r>
      <w:proofErr w:type="spellEnd"/>
      <w:r>
        <w:t xml:space="preserve"> ou chloroquine </w:t>
      </w:r>
    </w:p>
    <w:p w:rsidR="00137D44" w:rsidRDefault="00137D44" w:rsidP="00137D44">
      <w:pPr>
        <w:pStyle w:val="Paragraphedeliste"/>
        <w:numPr>
          <w:ilvl w:val="0"/>
          <w:numId w:val="1"/>
        </w:numPr>
      </w:pPr>
      <w:r>
        <w:t>La mortalité est faible s’il n’y a pas de surinfection</w:t>
      </w:r>
    </w:p>
    <w:p w:rsidR="00137D44" w:rsidRPr="00137D44" w:rsidRDefault="00137D44" w:rsidP="00137D44">
      <w:pPr>
        <w:pStyle w:val="Paragraphedeliste"/>
        <w:numPr>
          <w:ilvl w:val="0"/>
          <w:numId w:val="1"/>
        </w:numPr>
      </w:pPr>
      <w:r>
        <w:t xml:space="preserve">La réponse clinique sera appréciée par la disparition de la </w:t>
      </w:r>
      <w:r w:rsidRPr="00EA79C0">
        <w:rPr>
          <w:b/>
          <w:bCs/>
          <w:color w:val="00843B" w:themeColor="accent1"/>
        </w:rPr>
        <w:t>douleur</w:t>
      </w:r>
      <w:r w:rsidR="00EA79C0">
        <w:t xml:space="preserve">, de la </w:t>
      </w:r>
      <w:r w:rsidR="00EA79C0" w:rsidRPr="00EA79C0">
        <w:rPr>
          <w:b/>
          <w:bCs/>
          <w:color w:val="00843B" w:themeColor="accent1"/>
        </w:rPr>
        <w:t>fièvre</w:t>
      </w:r>
      <w:r w:rsidR="00EA79C0" w:rsidRPr="00EA79C0">
        <w:rPr>
          <w:color w:val="00843B" w:themeColor="accent1"/>
        </w:rPr>
        <w:t xml:space="preserve"> </w:t>
      </w:r>
      <w:r w:rsidR="00EA79C0">
        <w:t>et de l’</w:t>
      </w:r>
      <w:r w:rsidR="00EA79C0" w:rsidRPr="00EA79C0">
        <w:rPr>
          <w:b/>
          <w:bCs/>
          <w:color w:val="00843B" w:themeColor="accent1"/>
        </w:rPr>
        <w:t xml:space="preserve">hyperleucocytose </w:t>
      </w:r>
    </w:p>
    <w:p w:rsidR="009078B3" w:rsidRPr="00513F42" w:rsidRDefault="009078B3" w:rsidP="009078B3">
      <w:pPr>
        <w:ind w:left="348"/>
      </w:pPr>
    </w:p>
    <w:sectPr w:rsidR="009078B3" w:rsidRPr="00513F42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F4A96" w:rsidRDefault="00BF4A96" w:rsidP="002E390E">
      <w:pPr>
        <w:spacing w:before="0" w:after="0" w:line="240" w:lineRule="auto"/>
      </w:pPr>
      <w:r>
        <w:separator/>
      </w:r>
    </w:p>
  </w:endnote>
  <w:endnote w:type="continuationSeparator" w:id="0">
    <w:p w:rsidR="00BF4A96" w:rsidRDefault="00BF4A96" w:rsidP="002E390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2087601708"/>
      <w:docPartObj>
        <w:docPartGallery w:val="Page Numbers (Bottom of Page)"/>
        <w:docPartUnique/>
      </w:docPartObj>
    </w:sdtPr>
    <w:sdtContent>
      <w:p w:rsidR="002E390E" w:rsidRDefault="002E390E" w:rsidP="00F07F58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2E390E" w:rsidRDefault="002E390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660041931"/>
      <w:docPartObj>
        <w:docPartGallery w:val="Page Numbers (Bottom of Page)"/>
        <w:docPartUnique/>
      </w:docPartObj>
    </w:sdtPr>
    <w:sdtContent>
      <w:p w:rsidR="002E390E" w:rsidRDefault="002E390E" w:rsidP="00F07F58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2E390E" w:rsidRDefault="002E390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F4A96" w:rsidRDefault="00BF4A96" w:rsidP="002E390E">
      <w:pPr>
        <w:spacing w:before="0" w:after="0" w:line="240" w:lineRule="auto"/>
      </w:pPr>
      <w:r>
        <w:separator/>
      </w:r>
    </w:p>
  </w:footnote>
  <w:footnote w:type="continuationSeparator" w:id="0">
    <w:p w:rsidR="00BF4A96" w:rsidRDefault="00BF4A96" w:rsidP="002E390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E390E" w:rsidRDefault="002E390E">
    <w:pPr>
      <w:pStyle w:val="En-tte"/>
    </w:pPr>
    <w:r>
      <w:t>13 Février 2025</w:t>
    </w: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664FB"/>
    <w:multiLevelType w:val="hybridMultilevel"/>
    <w:tmpl w:val="20920C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B928A7"/>
    <w:multiLevelType w:val="hybridMultilevel"/>
    <w:tmpl w:val="7EBC68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5B76DE"/>
    <w:multiLevelType w:val="hybridMultilevel"/>
    <w:tmpl w:val="DA5A34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947E0D"/>
    <w:multiLevelType w:val="hybridMultilevel"/>
    <w:tmpl w:val="8E5AB510"/>
    <w:lvl w:ilvl="0" w:tplc="FFFFFFFF">
      <w:start w:val="1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C23A4B"/>
    <w:multiLevelType w:val="hybridMultilevel"/>
    <w:tmpl w:val="81B8E2DC"/>
    <w:lvl w:ilvl="0" w:tplc="FFFFFFFF">
      <w:start w:val="1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297769">
    <w:abstractNumId w:val="3"/>
  </w:num>
  <w:num w:numId="2" w16cid:durableId="1314145261">
    <w:abstractNumId w:val="0"/>
  </w:num>
  <w:num w:numId="3" w16cid:durableId="2050449860">
    <w:abstractNumId w:val="2"/>
  </w:num>
  <w:num w:numId="4" w16cid:durableId="1332683412">
    <w:abstractNumId w:val="1"/>
  </w:num>
  <w:num w:numId="5" w16cid:durableId="4264624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0E"/>
    <w:rsid w:val="00137D44"/>
    <w:rsid w:val="001B798C"/>
    <w:rsid w:val="001D1010"/>
    <w:rsid w:val="001F2394"/>
    <w:rsid w:val="001F6966"/>
    <w:rsid w:val="0022143E"/>
    <w:rsid w:val="002227D3"/>
    <w:rsid w:val="00284B2E"/>
    <w:rsid w:val="002E390E"/>
    <w:rsid w:val="004019C3"/>
    <w:rsid w:val="00506645"/>
    <w:rsid w:val="005132ED"/>
    <w:rsid w:val="00513F42"/>
    <w:rsid w:val="005622EA"/>
    <w:rsid w:val="00592E91"/>
    <w:rsid w:val="005E2A35"/>
    <w:rsid w:val="005F5B1B"/>
    <w:rsid w:val="00620B83"/>
    <w:rsid w:val="00653088"/>
    <w:rsid w:val="00764B46"/>
    <w:rsid w:val="009078B3"/>
    <w:rsid w:val="00911179"/>
    <w:rsid w:val="00921A88"/>
    <w:rsid w:val="009350D1"/>
    <w:rsid w:val="009D744B"/>
    <w:rsid w:val="009E48A4"/>
    <w:rsid w:val="009F0590"/>
    <w:rsid w:val="00A103F7"/>
    <w:rsid w:val="00A15F22"/>
    <w:rsid w:val="00A2569F"/>
    <w:rsid w:val="00B029F0"/>
    <w:rsid w:val="00B42EB9"/>
    <w:rsid w:val="00B7070B"/>
    <w:rsid w:val="00B80122"/>
    <w:rsid w:val="00BE74E6"/>
    <w:rsid w:val="00BF4A96"/>
    <w:rsid w:val="00C026C0"/>
    <w:rsid w:val="00C103A2"/>
    <w:rsid w:val="00C4376F"/>
    <w:rsid w:val="00C64EC0"/>
    <w:rsid w:val="00D9287B"/>
    <w:rsid w:val="00DB2E14"/>
    <w:rsid w:val="00DB5F3E"/>
    <w:rsid w:val="00E24785"/>
    <w:rsid w:val="00E3215E"/>
    <w:rsid w:val="00E42F9F"/>
    <w:rsid w:val="00EA79C0"/>
    <w:rsid w:val="00EF5123"/>
    <w:rsid w:val="00F07196"/>
    <w:rsid w:val="00F34186"/>
    <w:rsid w:val="00FE0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C9B5A"/>
  <w15:chartTrackingRefBased/>
  <w15:docId w15:val="{0E5AA55A-78B6-9C46-B308-EB6456F2F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2E390E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E390E"/>
  </w:style>
  <w:style w:type="paragraph" w:styleId="Pieddepage">
    <w:name w:val="footer"/>
    <w:basedOn w:val="Normal"/>
    <w:link w:val="PieddepageCar"/>
    <w:uiPriority w:val="99"/>
    <w:unhideWhenUsed/>
    <w:rsid w:val="002E390E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E390E"/>
  </w:style>
  <w:style w:type="character" w:styleId="Numrodepage">
    <w:name w:val="page number"/>
    <w:basedOn w:val="Policepardfaut"/>
    <w:uiPriority w:val="99"/>
    <w:semiHidden/>
    <w:unhideWhenUsed/>
    <w:rsid w:val="002E390E"/>
  </w:style>
  <w:style w:type="paragraph" w:styleId="Paragraphedeliste">
    <w:name w:val="List Paragraph"/>
    <w:basedOn w:val="Normal"/>
    <w:uiPriority w:val="34"/>
    <w:qFormat/>
    <w:rsid w:val="00B801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gastrologie%20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Template%20gastrologie%20.dotx</Template>
  <TotalTime>37</TotalTime>
  <Pages>3</Pages>
  <Words>590</Words>
  <Characters>3246</Characters>
  <Application>Microsoft Office Word</Application>
  <DocSecurity>0</DocSecurity>
  <Lines>27</Lines>
  <Paragraphs>7</Paragraphs>
  <ScaleCrop>false</ScaleCrop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39</cp:revision>
  <dcterms:created xsi:type="dcterms:W3CDTF">2025-02-13T11:23:00Z</dcterms:created>
  <dcterms:modified xsi:type="dcterms:W3CDTF">2025-02-13T16:11:00Z</dcterms:modified>
</cp:coreProperties>
</file>