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lang w:val="en-US"/>
        </w:rPr>
        <w:t xml:space="preserve">Algie pelvienne non périodique </w:t>
      </w:r>
    </w:p>
    <w:bookmarkStart w:id="0" w:name="_GoBack"/>
    <w:bookmarkEnd w:id="0"/>
    <w:p>
      <w:pPr>
        <w:pStyle w:val="style1"/>
        <w:rPr/>
      </w:pPr>
      <w:r>
        <w:t xml:space="preserve">Introduction </w:t>
      </w:r>
    </w:p>
    <w:p>
      <w:pPr>
        <w:pStyle w:val="style2"/>
        <w:rPr/>
      </w:pPr>
      <w:r>
        <w:t xml:space="preserve">Définition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Syndrome douloureux survenant de manière non cyclique par rapport aux menstruations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Associé le plus souvent à des nombreux signes accompagnateurs</w:t>
      </w:r>
    </w:p>
    <w:p>
      <w:pPr>
        <w:pStyle w:val="style2"/>
        <w:rPr/>
      </w:pPr>
      <w:r>
        <w:t xml:space="preserve">Intérêt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Symptômes très fréquent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Gravité potentielle </w:t>
      </w:r>
    </w:p>
    <w:p>
      <w:pPr>
        <w:pStyle w:val="style1"/>
        <w:rPr/>
      </w:pPr>
      <w:r>
        <w:t>Algie pelvienne non périodique</w:t>
      </w:r>
      <w:r>
        <w:rPr>
          <w:lang w:val="en-US"/>
        </w:rPr>
        <w:t xml:space="preserve"> non</w:t>
      </w:r>
      <w:r>
        <w:t xml:space="preserve"> en rapport avec la grossesse </w:t>
      </w:r>
      <w:r>
        <w:rPr>
          <w:smallCaps w:val="false"/>
          <w:lang w:val="en-US"/>
        </w:rPr>
        <w:t>(β-HCG -)</w:t>
      </w:r>
    </w:p>
    <w:p>
      <w:pPr>
        <w:pStyle w:val="style2"/>
        <w:rPr/>
      </w:pPr>
      <w:r>
        <w:t xml:space="preserve">Salpingite aiguë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Pathologie fréquente actuellement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Infection génitale haute ou maladie inflammatoire pelvienne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Clinique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Douleur pelvienne d'apparition aiguë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Leucorrhée +++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Biologie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Bilan inflammatoire : NFS, VSH, CRP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Bilan infectieux : prélèvement vaginal bactériologique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Traitement  : antibiothérapie en urgence ➡️ massive, précoce, durée suffisante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Complications +++</w:t>
      </w:r>
    </w:p>
    <w:p>
      <w:pPr>
        <w:pStyle w:val="style2"/>
        <w:rPr/>
      </w:pPr>
      <w:r>
        <w:t xml:space="preserve">Torsion d'un kyste de l'ovaire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Complication fréquente du kyste de l'ovaire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Clinique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Douleur pelvienne brutale unilatérale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Nausée, vomissements +++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Syndrome abdominal aigu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Ballonnement abdominal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Défense abdominale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b/>
          <w:bCs/>
          <w:lang w:val="en-US"/>
        </w:rPr>
        <w:t xml:space="preserve">Masse latéro-utérine </w:t>
      </w:r>
      <w:r>
        <w:rPr>
          <w:lang w:val="en-US"/>
        </w:rPr>
        <w:t>très douloureuse (examen pelvien)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Échographie +++ : masse latéro-utérine ± vascularisée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Urgence chirurgicale </w:t>
      </w:r>
    </w:p>
    <w:p>
      <w:pPr>
        <w:pStyle w:val="style2"/>
        <w:rPr/>
      </w:pPr>
      <w:r>
        <w:t xml:space="preserve">Cause non gynécologique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Cause urinaire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Colique néphrétique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Cystite aiguë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Pyélonéphrite aiguë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Causes digestives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Appendicite aiguë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Occlusion intestinale aiguë </w:t>
      </w:r>
    </w:p>
    <w:p>
      <w:pPr>
        <w:pStyle w:val="style1"/>
        <w:rPr>
          <w:smallCaps w:val="false"/>
        </w:rPr>
      </w:pPr>
      <w:r>
        <w:t xml:space="preserve">Algie pelvienne non périodique en rapport avec une grossesse </w:t>
      </w:r>
      <w:r>
        <w:rPr>
          <w:lang w:val="en-US"/>
        </w:rPr>
        <w:t xml:space="preserve"> </w:t>
      </w:r>
      <w:r>
        <w:t>(</w:t>
      </w:r>
      <w:r>
        <w:rPr>
          <w:caps w:val="false"/>
          <w:smallCaps w:val="false"/>
          <w:lang w:val="en-US"/>
        </w:rPr>
        <w:t>β</w:t>
      </w:r>
      <w:r>
        <w:rPr>
          <w:caps w:val="false"/>
          <w:smallCaps w:val="false"/>
        </w:rPr>
        <w:t>-</w:t>
      </w:r>
      <w:r>
        <w:rPr>
          <w:caps w:val="false"/>
          <w:smallCaps w:val="false"/>
          <w:lang w:val="en-US"/>
        </w:rPr>
        <w:t>H</w:t>
      </w:r>
      <w:r>
        <w:rPr>
          <w:smallCaps w:val="false"/>
          <w:lang w:val="en-US"/>
        </w:rPr>
        <w:t>CG</w:t>
      </w:r>
      <w:r>
        <w:rPr>
          <w:smallCaps w:val="false"/>
        </w:rPr>
        <w:t xml:space="preserve"> +)</w:t>
      </w:r>
    </w:p>
    <w:p>
      <w:pPr>
        <w:pStyle w:val="style2"/>
        <w:rPr/>
      </w:pPr>
      <w:r>
        <w:t xml:space="preserve">Grossesse extra-utérine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Implantation d'une grossesse en dehors de la cavité utérine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Évolution spontanée vers la rupture +++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Clinique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Aménorrhée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Douleur pelvienne aiguë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Métrorragie faite de sang noirâtre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Etat de choc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Biologie : β-HCG positif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Échographie : masse latéro-utérine ± épanchement intrapéritonéal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Urgence chirurgicale </w:t>
      </w:r>
    </w:p>
    <w:p>
      <w:pPr>
        <w:pStyle w:val="style2"/>
        <w:rPr/>
      </w:pPr>
      <w:r>
        <w:t xml:space="preserve">Menace de fausse couche spontanée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Menace d'expulsion ou expulsion en cours du produit de conception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Clinique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Aménorrhée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Douleur pelvienne aiguë type colique expulsive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Métrorragie faite de sang rouge abondante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Biologie : β-HCG positif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Échographie : recherche vitalité fœtale (fœtus dans la cavité utérine 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Traitement symptomatique et étiologique</w:t>
      </w:r>
    </w:p>
    <w:p>
      <w:pPr>
        <w:pStyle w:val="style2"/>
        <w:rPr/>
      </w:pPr>
      <w:r>
        <w:t xml:space="preserve">Autres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Complication d'un kyste ovarien au cours de la grossesse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Torsion d'un kyste  +++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Complication d'un fibrome utérin au cours de la grossesse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Nécrobiose aseptique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Torsion d'un fibrome pédiculé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Autres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Appendicite et grossesse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Colique néphrétique et grossesse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Infection urinaire et grossesse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NB : salpingite et grossesse ne s'associent jamais </w:t>
      </w:r>
    </w:p>
    <w:sectPr>
      <w:headerReference w:type="default" r:id="rId2"/>
      <w:footerReference w:type="default" r:id="rId3"/>
      <w:pgSz w:w="11906" w:h="16838" w:orient="portrait"/>
      <w:pgMar w:top="284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2AFF" w:usb1="4000ACFF" w:usb2="00000001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lang w:val="fr-FR"/>
      </w:rPr>
    </w:pPr>
    <w:r>
      <w:rPr>
        <w:noProof/>
        <w:color w:val="808080"/>
      </w:rPr>
      <mc:AlternateContent>
        <mc:Choice Requires="wpg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bottomMargin">
                <wp14:pctPosVOffset>20000</wp14:pctPosVOffset>
              </wp:positionV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SpPr/>
                      <wps:spPr>
                        <a:xfrm rot="0">
                          <a:off x="19050" y="0"/>
                          <a:ext cx="5943600" cy="18826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0" y="66676"/>
                          <a:ext cx="5943599" cy="257175"/>
                        </a:xfrm>
                        <a:prstGeom prst="rect"/>
                        <a:ln>
                          <a:noFill/>
                        </a:ln>
                      </wps:spPr>
                      <wps:txbx id="4099">
                        <w:txbxContent>
                          <w:p>
                            <w:pPr>
                              <w:pStyle w:val="style0"/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lIns="91440" rIns="91440" tIns="45720" bIns="0" vert="horz" anchor="b" wrap="square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/>
                <v:fill/>
              </v:rect>
              <v:rect id="4099" filled="f" stroked="f" style="position:absolute;left:0;top:66676;width:5943599;height:257175;z-index:3;mso-position-horizontal-relative:page;mso-position-vertical-relative:page;mso-width-relative:page;mso-height-relative:page;visibility:visible;v-text-anchor:bottom;">
                <v:stroke on="f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rightMargin">
                <wp:align>left</wp:align>
              </wp:positionH>
              <wp:positionV relativeFrom="bottomMargin">
                <wp14:pctPosVOffset>20000</wp14:pctPosVOffset>
              </wp:positionV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57200" cy="320040"/>
                      </a:xfrm>
                      <a:prstGeom prst="rect"/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91440" rIns="91440" tIns="45720" bIns="45720" vert="horz" anchor="b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Gynéco-obstétrique du 08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BE44F76"/>
    <w:lvl w:ilvl="0">
      <w:start w:val="1"/>
      <w:numFmt w:val="upperRoman"/>
      <w:pStyle w:val="style1"/>
      <w:lvlText w:val="%1."/>
      <w:lvlJc w:val="right"/>
      <w:pPr>
        <w:ind w:left="360" w:hanging="360"/>
      </w:pPr>
    </w:lvl>
    <w:lvl w:ilvl="1">
      <w:start w:val="1"/>
      <w:numFmt w:val="decimal"/>
      <w:pStyle w:val="style2"/>
      <w:lvlText w:val="%1.%2"/>
      <w:lvlJc w:val="left"/>
      <w:pPr>
        <w:ind w:left="576" w:hanging="576"/>
      </w:pPr>
    </w:lvl>
    <w:lvl w:ilvl="2">
      <w:start w:val="1"/>
      <w:numFmt w:val="decimal"/>
      <w:pStyle w:val="style3"/>
      <w:lvlText w:val="%1.%2.%3"/>
      <w:lvlJc w:val="left"/>
      <w:pPr>
        <w:ind w:left="720" w:hanging="720"/>
      </w:pPr>
    </w:lvl>
    <w:lvl w:ilvl="3">
      <w:start w:val="1"/>
      <w:numFmt w:val="decimal"/>
      <w:pStyle w:val="style4"/>
      <w:lvlText w:val="%1.%2.%3.%4"/>
      <w:lvlJc w:val="left"/>
      <w:pPr>
        <w:ind w:left="864" w:hanging="864"/>
      </w:pPr>
    </w:lvl>
    <w:lvl w:ilvl="4">
      <w:start w:val="1"/>
      <w:numFmt w:val="decimal"/>
      <w:pStyle w:val="style5"/>
      <w:lvlText w:val="%1.%2.%3.%4.%5"/>
      <w:lvlJc w:val="left"/>
      <w:pPr>
        <w:ind w:left="1008" w:hanging="1008"/>
      </w:pPr>
    </w:lvl>
    <w:lvl w:ilvl="5">
      <w:start w:val="1"/>
      <w:numFmt w:val="decimal"/>
      <w:pStyle w:val="style6"/>
      <w:lvlText w:val="%1.%2.%3.%4.%5.%6"/>
      <w:lvlJc w:val="left"/>
      <w:pPr>
        <w:ind w:left="1152" w:hanging="1152"/>
      </w:pPr>
    </w:lvl>
    <w:lvl w:ilvl="6">
      <w:start w:val="1"/>
      <w:numFmt w:val="decimal"/>
      <w:pStyle w:val="styl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styl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style9"/>
      <w:lvlText w:val="%1.%2.%3.%4.%5.%6.%7.%8.%9"/>
      <w:lvlJc w:val="left"/>
      <w:pPr>
        <w:ind w:left="1584" w:hanging="1584"/>
      </w:pPr>
    </w:lvl>
  </w:abstractNum>
  <w:abstractNum w:abstractNumId="1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lineRule="auto" w:line="360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cs="宋体" w:eastAsia="宋体"/>
      <w:b/>
      <w:smallCaps/>
      <w:color w:val="800000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numPr>
        <w:ilvl w:val="1"/>
        <w:numId w:val="1"/>
      </w:numPr>
      <w:spacing w:before="40"/>
      <w:outlineLvl w:val="1"/>
    </w:pPr>
    <w:rPr>
      <w:rFonts w:cs="宋体" w:eastAsia="宋体"/>
      <w:b/>
      <w:smallCaps/>
      <w:color w:val="008000"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numPr>
        <w:ilvl w:val="2"/>
        <w:numId w:val="1"/>
      </w:numPr>
      <w:spacing w:before="40"/>
      <w:outlineLvl w:val="2"/>
    </w:pPr>
    <w:rPr>
      <w:rFonts w:cs="宋体" w:eastAsia="宋体"/>
      <w:b/>
      <w:color w:val="002060"/>
      <w:sz w:val="26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cs="宋体" w:eastAsia="宋体"/>
      <w:b/>
      <w:iCs/>
      <w:color w:val="c00000"/>
      <w:sz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cs="宋体" w:eastAsia="宋体"/>
      <w:b/>
      <w:color w:val="660066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="宋体" w:eastAsia="宋体"/>
      <w:b/>
      <w:sz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="Cambria" w:cs="宋体" w:eastAsia="宋体" w:hAnsi="Cambria"/>
      <w:i/>
      <w:iCs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="Cambria" w:cs="宋体" w:eastAsia="宋体" w:hAnsi="Cambria"/>
      <w:color w:val="262626"/>
      <w:sz w:val="21"/>
      <w:szCs w:val="21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="Cambria" w:cs="宋体" w:eastAsia="宋体" w:hAnsi="Cambria"/>
      <w:i/>
      <w:iCs/>
      <w:color w:val="262626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Times New Roman" w:cs="宋体" w:eastAsia="宋体" w:hAnsi="Times New Roman"/>
      <w:b/>
      <w:smallCaps/>
      <w:color w:val="800000"/>
      <w:sz w:val="32"/>
      <w:szCs w:val="32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Times New Roman" w:cs="宋体" w:eastAsia="宋体" w:hAnsi="Times New Roman"/>
      <w:b/>
      <w:smallCaps/>
      <w:color w:val="008000"/>
      <w:sz w:val="28"/>
      <w:szCs w:val="28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ascii="Times New Roman" w:cs="宋体" w:eastAsia="宋体" w:hAnsi="Times New Roman"/>
      <w:b/>
      <w:color w:val="002060"/>
      <w:sz w:val="26"/>
      <w:szCs w:val="24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ascii="Times New Roman" w:cs="宋体" w:eastAsia="宋体" w:hAnsi="Times New Roman"/>
      <w:b/>
      <w:iCs/>
      <w:color w:val="c00000"/>
      <w:sz w:val="24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ascii="Times New Roman" w:cs="宋体" w:eastAsia="宋体" w:hAnsi="Times New Roman"/>
      <w:b/>
      <w:color w:val="660066"/>
      <w:sz w:val="24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ascii="Times New Roman" w:cs="宋体" w:eastAsia="宋体" w:hAnsi="Times New Roman"/>
      <w:b/>
      <w:sz w:val="24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ascii="Cambria" w:cs="宋体" w:eastAsia="宋体" w:hAnsi="Cambria"/>
      <w:i/>
      <w:iCs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ascii="Cambria" w:cs="宋体" w:eastAsia="宋体" w:hAnsi="Cambria"/>
      <w:color w:val="262626"/>
      <w:sz w:val="21"/>
      <w:szCs w:val="21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ascii="Cambria" w:cs="宋体" w:eastAsia="宋体" w:hAnsi="Cambria"/>
      <w:i/>
      <w:iCs/>
      <w:color w:val="262626"/>
      <w:sz w:val="21"/>
      <w:szCs w:val="21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1f497d"/>
      <w:sz w:val="18"/>
      <w:szCs w:val="1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lineRule="auto" w:line="240"/>
      <w:jc w:val="center"/>
      <w:contextualSpacing/>
    </w:pPr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ascii="Calibri" w:hAnsi="Calibri"/>
      <w:color w:val="5a5a5a"/>
      <w:spacing w:val="15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color w:val="5a5a5a"/>
      <w:spacing w:val="15"/>
    </w:rPr>
  </w:style>
  <w:style w:type="character" w:styleId="style87">
    <w:name w:val="Strong"/>
    <w:basedOn w:val="style65"/>
    <w:next w:val="style87"/>
    <w:qFormat/>
    <w:uiPriority w:val="22"/>
    <w:rPr>
      <w:b/>
      <w:bCs/>
      <w:color w:val="auto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auto"/>
    </w:rPr>
  </w:style>
  <w:style w:type="paragraph" w:styleId="style157">
    <w:name w:val="No Spacing"/>
    <w:next w:val="style157"/>
    <w:link w:val="style4110"/>
    <w:qFormat/>
    <w:uiPriority w:val="1"/>
    <w:pPr>
      <w:spacing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404040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auto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40404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04040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9">
    <w:name w:val="toc 1"/>
    <w:basedOn w:val="style0"/>
    <w:next w:val="style0"/>
    <w:uiPriority w:val="39"/>
    <w:pPr>
      <w:spacing w:after="100"/>
    </w:pPr>
    <w:rPr>
      <w:color w:val="c00000"/>
    </w:rPr>
  </w:style>
  <w:style w:type="character" w:customStyle="1" w:styleId="style4110">
    <w:name w:val="Sans interligne Car"/>
    <w:next w:val="style4110"/>
    <w:link w:val="style157"/>
    <w:uiPriority w:val="1"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1">
    <w:name w:val="En-tête Car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2">
    <w:name w:val="Pied de page Car"/>
    <w:basedOn w:val="style65"/>
    <w:next w:val="style4112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Words>306</Words>
  <Pages>1</Pages>
  <Characters>2043</Characters>
  <Application>WPS Office</Application>
  <DocSecurity>0</DocSecurity>
  <Paragraphs>79</Paragraphs>
  <ScaleCrop>false</ScaleCrop>
  <LinksUpToDate>false</LinksUpToDate>
  <CharactersWithSpaces>2329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2025-06-07T01:39:00Z</dcterms:created>
  <dc:creator>RAFANOMEZANTSOA</dc:creator>
  <lastModifiedBy>Redmi Note 7 Pro</lastModifiedBy>
  <dcterms:modified xsi:type="dcterms:W3CDTF">2025-07-08T13:25:03Z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199c226ce592428da27b9e8ef08ba7ac</vt:lpwstr>
  </property>
</Properties>
</file>