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F5A" w:rsidRDefault="00FE1CA4">
      <w:r>
        <w:rPr>
          <w:lang w:val="en-US"/>
        </w:rPr>
        <w:t>Pr Romuald ANDRIAMAHAVONJY</w:t>
      </w:r>
    </w:p>
    <w:p w:rsidR="00844F5A" w:rsidRDefault="00FE1CA4">
      <w:pPr>
        <w:pStyle w:val="Titre"/>
      </w:pPr>
      <w:r>
        <w:t>Grossesse gémellaire et multip</w:t>
      </w:r>
      <w:r>
        <w:rPr>
          <w:lang w:val="en-US"/>
        </w:rPr>
        <w:t>le</w:t>
      </w:r>
    </w:p>
    <w:p w:rsidR="00844F5A" w:rsidRDefault="00844F5A"/>
    <w:p w:rsidR="00844F5A" w:rsidRDefault="00FE1CA4">
      <w:pPr>
        <w:pStyle w:val="Titre1"/>
      </w:pPr>
      <w:r>
        <w:t xml:space="preserve">Introduction </w:t>
      </w:r>
    </w:p>
    <w:p w:rsidR="00844F5A" w:rsidRDefault="00FE1CA4">
      <w:pPr>
        <w:pStyle w:val="Titre2"/>
      </w:pPr>
      <w:r>
        <w:rPr>
          <w:lang w:val="en-US"/>
        </w:rPr>
        <w:t xml:space="preserve">Définition </w:t>
      </w:r>
    </w:p>
    <w:p w:rsidR="00844F5A" w:rsidRDefault="00FE1CA4" w:rsidP="00FE1CA4">
      <w:pPr>
        <w:pStyle w:val="Paragraphedeliste"/>
        <w:numPr>
          <w:ilvl w:val="0"/>
          <w:numId w:val="1"/>
        </w:numPr>
      </w:pPr>
      <w:r>
        <w:rPr>
          <w:lang w:val="en-US"/>
        </w:rPr>
        <w:t>Développement simultané de deux (gémellaire +++) ou plusieurs embryons dans la cavité uterine</w:t>
      </w:r>
    </w:p>
    <w:p w:rsidR="00844F5A" w:rsidRDefault="00FE1CA4" w:rsidP="00FE1CA4">
      <w:pPr>
        <w:pStyle w:val="Paragraphedeliste"/>
        <w:numPr>
          <w:ilvl w:val="0"/>
          <w:numId w:val="1"/>
        </w:numPr>
      </w:pPr>
      <w:r>
        <w:rPr>
          <w:lang w:val="en-US"/>
        </w:rPr>
        <w:t>Peut être bi-ovulaire (dizygote) ou uni-ovulaire (monozygote +++)</w:t>
      </w:r>
    </w:p>
    <w:p w:rsidR="00844F5A" w:rsidRDefault="00FE1CA4">
      <w:pPr>
        <w:pStyle w:val="Titre2"/>
      </w:pPr>
      <w:r>
        <w:rPr>
          <w:lang w:val="en-US"/>
        </w:rPr>
        <w:t>Intérêts</w:t>
      </w:r>
    </w:p>
    <w:p w:rsidR="00844F5A" w:rsidRDefault="00FE1CA4" w:rsidP="00FE1CA4">
      <w:pPr>
        <w:pStyle w:val="Paragraphedeliste"/>
        <w:numPr>
          <w:ilvl w:val="0"/>
          <w:numId w:val="1"/>
        </w:numPr>
      </w:pPr>
      <w:r>
        <w:rPr>
          <w:lang w:val="en-US"/>
        </w:rPr>
        <w:t>De plus en plus fréquente en obstétrique, du à l'âge maternel élevé et aux technique de procréation médicale assistée</w:t>
      </w:r>
    </w:p>
    <w:p w:rsidR="00844F5A" w:rsidRDefault="00FE1CA4" w:rsidP="00FE1CA4">
      <w:pPr>
        <w:pStyle w:val="Paragraphedeliste"/>
        <w:numPr>
          <w:ilvl w:val="0"/>
          <w:numId w:val="1"/>
        </w:numPr>
      </w:pPr>
      <w:r>
        <w:rPr>
          <w:lang w:val="en-US"/>
        </w:rPr>
        <w:t xml:space="preserve">Grave car morbidité et mortalité fœtales élevée </w:t>
      </w:r>
      <w:r>
        <w:rPr>
          <w:rFonts w:cs="Times New Roman"/>
          <w:lang w:val="en-US"/>
        </w:rPr>
        <w:t>→</w:t>
      </w:r>
      <w:r>
        <w:rPr>
          <w:lang w:val="en-US"/>
        </w:rPr>
        <w:t xml:space="preserve"> doit être considérée comme grossesse à risque élevée </w:t>
      </w:r>
    </w:p>
    <w:p w:rsidR="00844F5A" w:rsidRDefault="00FE1CA4">
      <w:pPr>
        <w:pStyle w:val="Titre1"/>
      </w:pPr>
      <w:r>
        <w:t>GG dizygote</w:t>
      </w:r>
    </w:p>
    <w:p w:rsidR="00844F5A" w:rsidRDefault="00FE1CA4">
      <w:pPr>
        <w:pStyle w:val="Titre2"/>
      </w:pPr>
      <w:r>
        <w:rPr>
          <w:lang w:val="en-US"/>
        </w:rPr>
        <w:t>Physiopathologie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Deux</w:t>
      </w:r>
      <w:r>
        <w:rPr>
          <w:lang w:val="en-US"/>
        </w:rPr>
        <w:t xml:space="preserve"> ovules (issu d'un même cycle) sont fécondés chacun par un spermatozoide distinct (au cours d' un même coït ou de deux coïts successifs)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Rôle de la FSH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>Elévation du taux plasmatique de FSH endogène en période folliculaire et ovulatoire ou exogène lors de t</w:t>
      </w:r>
      <w:r>
        <w:rPr>
          <w:lang w:val="en-US"/>
        </w:rPr>
        <w:t xml:space="preserve">raitement inducteur d'ovulation 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>Plusieurs follicules parviennet simultanément à la maturité (dizygote)</w:t>
      </w:r>
    </w:p>
    <w:p w:rsidR="00844F5A" w:rsidRDefault="00FE1CA4">
      <w:pPr>
        <w:pStyle w:val="Titre2"/>
      </w:pPr>
      <w:r>
        <w:rPr>
          <w:lang w:val="en-US"/>
        </w:rPr>
        <w:t>Anatomie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Peuvent être de sexes différents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Toujours</w:t>
      </w:r>
      <w:r>
        <w:rPr>
          <w:b/>
          <w:bCs/>
          <w:lang w:val="en-US"/>
        </w:rPr>
        <w:t xml:space="preserve"> bichoriale biamniotique</w:t>
      </w:r>
      <w:r>
        <w:rPr>
          <w:lang w:val="en-US"/>
        </w:rPr>
        <w:t>: chaque œuf a son propre placenta et son sac membraneux complet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Pas d’anasto</w:t>
      </w:r>
      <w:r>
        <w:rPr>
          <w:lang w:val="en-US"/>
        </w:rPr>
        <w:t>mose entre les vaisseaux des deux circulations</w:t>
      </w:r>
    </w:p>
    <w:p w:rsidR="00844F5A" w:rsidRDefault="00FE1CA4">
      <w:pPr>
        <w:pStyle w:val="Titre1"/>
      </w:pPr>
      <w:r>
        <w:rPr>
          <w:lang w:val="en-US"/>
        </w:rPr>
        <w:t>GG monozygote</w:t>
      </w:r>
    </w:p>
    <w:p w:rsidR="00844F5A" w:rsidRDefault="00FE1CA4">
      <w:pPr>
        <w:pStyle w:val="Titre2"/>
      </w:pPr>
      <w:r>
        <w:rPr>
          <w:lang w:val="en-US"/>
        </w:rPr>
        <w:t>Physiopatologie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Fécondation d'</w:t>
      </w:r>
      <w:r>
        <w:rPr>
          <w:b/>
          <w:bCs/>
          <w:lang w:val="en-US"/>
        </w:rPr>
        <w:t>un ovocyte</w:t>
      </w:r>
      <w:r>
        <w:rPr>
          <w:lang w:val="en-US"/>
        </w:rPr>
        <w:t xml:space="preserve"> donnant un embryon, se dédoublant secondairement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Selon le stade de dédoublement 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 xml:space="preserve">Avant le 5 </w:t>
      </w:r>
      <w:r>
        <w:rPr>
          <w:vertAlign w:val="superscript"/>
          <w:lang w:val="en-US"/>
        </w:rPr>
        <w:t xml:space="preserve">ème </w:t>
      </w:r>
      <w:r>
        <w:rPr>
          <w:lang w:val="en-US"/>
        </w:rPr>
        <w:t xml:space="preserve">jour </w:t>
      </w:r>
      <w:r>
        <w:rPr>
          <w:lang w:val="en-US"/>
        </w:rPr>
        <w:t>: bichoriale biamniotique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 xml:space="preserve">Entre le 5 </w:t>
      </w:r>
      <w:r>
        <w:rPr>
          <w:vertAlign w:val="superscript"/>
          <w:lang w:val="en-US"/>
        </w:rPr>
        <w:t>ème</w:t>
      </w:r>
      <w:r>
        <w:rPr>
          <w:lang w:val="en-US"/>
        </w:rPr>
        <w:t xml:space="preserve"> et 8</w:t>
      </w:r>
      <w:r>
        <w:rPr>
          <w:vertAlign w:val="superscript"/>
          <w:lang w:val="en-US"/>
        </w:rPr>
        <w:t>ème</w:t>
      </w:r>
      <w:r>
        <w:rPr>
          <w:lang w:val="en-US"/>
        </w:rPr>
        <w:t xml:space="preserve"> jour</w:t>
      </w:r>
      <w:r>
        <w:rPr>
          <w:lang w:val="en-US"/>
        </w:rPr>
        <w:t>: monochoriale biamniotique+++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>A la 2</w:t>
      </w:r>
      <w:r>
        <w:rPr>
          <w:vertAlign w:val="superscript"/>
          <w:lang w:val="en-US"/>
        </w:rPr>
        <w:t>ème</w:t>
      </w:r>
      <w:r>
        <w:rPr>
          <w:lang w:val="en-US"/>
        </w:rPr>
        <w:t xml:space="preserve"> semaine: monochoriale monoamniotique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>Après la 2</w:t>
      </w:r>
      <w:r>
        <w:rPr>
          <w:vertAlign w:val="superscript"/>
          <w:lang w:val="en-US"/>
        </w:rPr>
        <w:t>ème</w:t>
      </w:r>
      <w:r>
        <w:rPr>
          <w:lang w:val="en-US"/>
        </w:rPr>
        <w:t xml:space="preserve"> semaine: siamois</w:t>
      </w:r>
    </w:p>
    <w:p w:rsidR="00844F5A" w:rsidRDefault="00FE1CA4">
      <w:pPr>
        <w:pStyle w:val="Titre2"/>
      </w:pPr>
      <w:r>
        <w:rPr>
          <w:lang w:val="en-US"/>
        </w:rPr>
        <w:lastRenderedPageBreak/>
        <w:t>Anatomie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Monochoriale biamniotique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>Aucun sillon de séparation sur la face maternelle placentaire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 xml:space="preserve">La cloison de séparation des deux œufs est </w:t>
      </w:r>
      <w:r>
        <w:rPr>
          <w:lang w:val="en-US"/>
        </w:rPr>
        <w:t>constituée de deux amnios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 xml:space="preserve">Présence d'anastomoses vasculaires 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rFonts w:ascii="Segoe UI Emoji" w:hAnsi="Segoe UI Emoji" w:cs="Segoe UI Emoji"/>
          <w:lang w:val="en-US"/>
        </w:rPr>
        <w:t>➡</w:t>
      </w:r>
      <w:r>
        <w:rPr>
          <w:lang w:val="en-US"/>
        </w:rPr>
        <w:t>️</w:t>
      </w:r>
      <w:r>
        <w:rPr>
          <w:lang w:val="en-US"/>
        </w:rPr>
        <w:t xml:space="preserve"> Syndrome transfuseur-transfusé 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>Schema</w:t>
      </w:r>
      <w:r>
        <w:rPr>
          <w:rStyle w:val="Appelnotedebasdep"/>
        </w:rPr>
        <w:footnoteReference w:id="1"/>
      </w:r>
    </w:p>
    <w:p w:rsidR="00844F5A" w:rsidRDefault="00FE1CA4">
      <w:pPr>
        <w:pStyle w:val="Paragraphedeliste"/>
        <w:ind w:left="1440"/>
        <w:rPr>
          <w:lang w:val="en-US"/>
        </w:rPr>
      </w:pPr>
      <w:r>
        <w:rPr>
          <w:noProof/>
        </w:rPr>
        <w:drawing>
          <wp:inline distT="0" distB="0" distL="0" distR="0">
            <wp:extent cx="4966262" cy="3051137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966262" cy="305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.               </w:t>
      </w:r>
    </w:p>
    <w:p w:rsidR="00844F5A" w:rsidRDefault="00FE1CA4" w:rsidP="00FE1CA4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Mo</w:t>
      </w:r>
      <w:bookmarkStart w:id="0" w:name="_GoBack"/>
      <w:bookmarkEnd w:id="0"/>
      <w:r>
        <w:rPr>
          <w:lang w:val="en-US"/>
        </w:rPr>
        <w:t>nochoriale monoamniotique</w:t>
      </w:r>
    </w:p>
    <w:p w:rsidR="00844F5A" w:rsidRDefault="00FE1CA4" w:rsidP="00FE1CA4">
      <w:pPr>
        <w:pStyle w:val="Paragraphedeliste"/>
        <w:numPr>
          <w:ilvl w:val="1"/>
          <w:numId w:val="3"/>
        </w:numPr>
        <w:rPr>
          <w:lang w:val="en-US"/>
        </w:rPr>
      </w:pPr>
      <w:r>
        <w:rPr>
          <w:lang w:val="en-US"/>
        </w:rPr>
        <w:t>Placenta unique, aucune cloison ne sépare les fœtus</w:t>
      </w:r>
    </w:p>
    <w:p w:rsidR="00844F5A" w:rsidRDefault="00FE1CA4">
      <w:pPr>
        <w:pStyle w:val="Titre1"/>
      </w:pPr>
      <w:r>
        <w:t>Conséquences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Grossesse bichoriale (placenta) </w:t>
      </w:r>
      <w:r>
        <w:rPr>
          <w:lang w:val="en-US"/>
        </w:rPr>
        <w:t xml:space="preserve">biamniotique : 2 </w:t>
      </w:r>
      <w:bookmarkStart w:id="1" w:name="_Hlk204257143"/>
      <w:r>
        <w:rPr>
          <w:lang w:val="en-US"/>
        </w:rPr>
        <w:t>fœtus séparés par une cloison épaisse à 4 feuillets( 2 chorions , 2 amnios)</w:t>
      </w:r>
      <w:bookmarkEnd w:id="1"/>
      <w:r>
        <w:rPr>
          <w:lang w:val="en-US"/>
        </w:rPr>
        <w:t xml:space="preserve"> , 2 circulations fœtoplacentaires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Grossesse monochoriale biamniotique : 2 fœtus séparés par une cloison fine à 2 feuillets( 2 amnios),existence d’anastomose entre </w:t>
      </w:r>
      <w:r>
        <w:rPr>
          <w:lang w:val="en-US"/>
        </w:rPr>
        <w:t>les 2 circulations foeto-placentaire</w:t>
      </w:r>
    </w:p>
    <w:p w:rsidR="00844F5A" w:rsidRDefault="00FE1CA4">
      <w:pPr>
        <w:pStyle w:val="Paragraphedeliste"/>
      </w:pPr>
      <w:r>
        <w:rPr>
          <w:noProof/>
        </w:rPr>
        <w:drawing>
          <wp:inline distT="0" distB="0" distL="0" distR="0">
            <wp:extent cx="5069263" cy="2306644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069263" cy="230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F5A" w:rsidRDefault="00FE1CA4">
      <w:pPr>
        <w:pStyle w:val="Titre1"/>
      </w:pPr>
      <w:r>
        <w:rPr>
          <w:lang w:val="en-US"/>
        </w:rPr>
        <w:t>Facteurs de risque</w:t>
      </w:r>
    </w:p>
    <w:p w:rsidR="00844F5A" w:rsidRDefault="00FE1CA4">
      <w:pPr>
        <w:pStyle w:val="Titre2"/>
      </w:pPr>
      <w:r>
        <w:t>Grossesse gémellaire monozygote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Inconnue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Âge maternel &lt; 18 ans et &gt; </w:t>
      </w:r>
      <w:r>
        <w:rPr>
          <w:rFonts w:cs="Times New Roman"/>
          <w:lang w:val="en-US"/>
        </w:rPr>
        <w:t>35 ans</w:t>
      </w:r>
    </w:p>
    <w:p w:rsidR="00844F5A" w:rsidRDefault="00FE1CA4">
      <w:pPr>
        <w:pStyle w:val="Titre2"/>
      </w:pPr>
      <w:r>
        <w:rPr>
          <w:lang w:val="en-US"/>
        </w:rPr>
        <w:t>Grossesse multiple de haut rang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Ethnie: noire +++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Âge extrême maternel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Multiparité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Grossesse induite (CLOMIFÈNE)</w:t>
      </w:r>
    </w:p>
    <w:p w:rsidR="00844F5A" w:rsidRDefault="00FE1CA4">
      <w:pPr>
        <w:pStyle w:val="Titre2"/>
      </w:pPr>
      <w:r>
        <w:rPr>
          <w:lang w:val="en-US"/>
        </w:rPr>
        <w:t xml:space="preserve">Grossesse </w:t>
      </w:r>
      <w:r>
        <w:rPr>
          <w:lang w:val="en-US"/>
        </w:rPr>
        <w:t>gémellaire dizygote (faux jumeaux)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Ethnie: Africain ( Nigéria+++) &gt; caucasien &gt; asiatiques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Âge maternel élevé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Antécédents familiaux par l’intérmédiaire du genotype féminin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Multiparité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Traitement de la stérilité: grossesse médicalement induite</w:t>
      </w:r>
    </w:p>
    <w:p w:rsidR="00844F5A" w:rsidRDefault="00FE1CA4">
      <w:pPr>
        <w:pStyle w:val="Titre1"/>
      </w:pPr>
      <w:r>
        <w:rPr>
          <w:lang w:val="en-US"/>
        </w:rPr>
        <w:t xml:space="preserve">Diagnostic </w:t>
      </w:r>
      <w:r>
        <w:rPr>
          <w:lang w:val="en-US"/>
        </w:rPr>
        <w:t>positif</w:t>
      </w:r>
    </w:p>
    <w:p w:rsidR="00844F5A" w:rsidRDefault="00FE1CA4">
      <w:pPr>
        <w:pStyle w:val="Titre2"/>
      </w:pPr>
      <w:r>
        <w:rPr>
          <w:lang w:val="en-US"/>
        </w:rPr>
        <w:t xml:space="preserve">Interrogatoire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Augmentation des signes sympathiques de la grossesse: pollakiurie, hypersalivation, mastodynie</w:t>
      </w:r>
      <w:r>
        <w:rPr>
          <w:rStyle w:val="Appelnotedebasdep"/>
        </w:rPr>
        <w:footnoteReference w:id="2"/>
      </w:r>
      <w:r>
        <w:rPr>
          <w:lang w:val="en-US"/>
        </w:rPr>
        <w:t>, trouble du caractère, nausée et vomissement matinaux</w:t>
      </w:r>
    </w:p>
    <w:p w:rsidR="00844F5A" w:rsidRDefault="00FE1CA4">
      <w:pPr>
        <w:pStyle w:val="Titre2"/>
      </w:pPr>
      <w:r>
        <w:rPr>
          <w:lang w:val="en-US"/>
        </w:rPr>
        <w:t xml:space="preserve">Examen clinique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t>Hauteur utérine augmentée par rapport à l’âge présumé de la gross</w:t>
      </w:r>
      <w:r>
        <w:t>esse</w:t>
      </w:r>
    </w:p>
    <w:p w:rsidR="00844F5A" w:rsidRDefault="00FE1CA4">
      <w:pPr>
        <w:pStyle w:val="Titre2"/>
      </w:pPr>
      <w:r>
        <w:rPr>
          <w:lang w:val="en-US"/>
        </w:rPr>
        <w:t xml:space="preserve">Examen paraclinique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Dosage de </w:t>
      </w:r>
      <w:r>
        <w:rPr>
          <w:rFonts w:cs="Times New Roman"/>
          <w:lang w:val="en-US"/>
        </w:rPr>
        <w:t>β</w:t>
      </w:r>
      <w:r>
        <w:rPr>
          <w:lang w:val="en-US"/>
        </w:rPr>
        <w:t xml:space="preserve"> HCG plasmatique : élévation importante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Echographie pelvienne : diagnostic positif dès la 7</w:t>
      </w:r>
      <w:r>
        <w:rPr>
          <w:vertAlign w:val="superscript"/>
          <w:lang w:val="en-US"/>
        </w:rPr>
        <w:t>ème</w:t>
      </w:r>
      <w:r>
        <w:rPr>
          <w:lang w:val="en-US"/>
        </w:rPr>
        <w:t xml:space="preserve"> SA (plusieurs sacs embryonnaires) et type amniotique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Grossesse bichoriale (2 placentas)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t>2 sacs ovulaires avec vésicules vit</w:t>
      </w:r>
      <w:r>
        <w:t>ellines et embryon chacun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t>Signe du LAMBDA : raccordement des 4 feuillets,épaississement des membranes ovulaires</w:t>
      </w:r>
      <w:r>
        <w:rPr>
          <w:lang w:val="en-US"/>
        </w:rPr>
        <w:t xml:space="preserve"> </w:t>
      </w:r>
      <w:r>
        <w:t>(pathognomonique et constant)</w:t>
      </w:r>
    </w:p>
    <w:p w:rsidR="00844F5A" w:rsidRDefault="00FE1CA4">
      <w:pPr>
        <w:pStyle w:val="Paragraphedeliste"/>
        <w:ind w:left="1440"/>
      </w:pPr>
      <w:r>
        <w:rPr>
          <w:noProof/>
        </w:rPr>
        <w:drawing>
          <wp:inline distT="0" distB="0" distL="0" distR="0">
            <wp:extent cx="2662841" cy="1622690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662841" cy="162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Grossesse monochoriale (1 placenta)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>Une seule cavité choriale, 2 vésicules vitellines et 2 embryons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rPr>
          <w:lang w:val="en-US"/>
        </w:rPr>
        <w:t>Absence du s</w:t>
      </w:r>
      <w:r>
        <w:rPr>
          <w:lang w:val="en-US"/>
        </w:rPr>
        <w:t>igne de LAMBDA</w:t>
      </w:r>
    </w:p>
    <w:p w:rsidR="00844F5A" w:rsidRDefault="00FE1CA4" w:rsidP="00FE1CA4">
      <w:pPr>
        <w:pStyle w:val="Paragraphedeliste"/>
        <w:numPr>
          <w:ilvl w:val="2"/>
          <w:numId w:val="2"/>
        </w:numPr>
      </w:pPr>
      <w:r>
        <w:rPr>
          <w:lang w:val="en-US"/>
        </w:rPr>
        <w:t>Soit biamniotique: les 2 embryons séparés par une cloison</w:t>
      </w:r>
    </w:p>
    <w:p w:rsidR="00844F5A" w:rsidRDefault="00FE1CA4" w:rsidP="00FE1CA4">
      <w:pPr>
        <w:pStyle w:val="Paragraphedeliste"/>
        <w:numPr>
          <w:ilvl w:val="2"/>
          <w:numId w:val="2"/>
        </w:numPr>
      </w:pPr>
      <w:r>
        <w:rPr>
          <w:lang w:val="en-US"/>
        </w:rPr>
        <w:t>Soit monoamniotique: absence de cloison</w:t>
      </w:r>
    </w:p>
    <w:p w:rsidR="00844F5A" w:rsidRDefault="00FE1CA4">
      <w:pPr>
        <w:pStyle w:val="Titre1"/>
      </w:pPr>
      <w:r>
        <w:rPr>
          <w:lang w:val="en-US"/>
        </w:rPr>
        <w:t>Diagnostic étiologique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t>Recherche de facteur de risque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t>Terrain : âge maternel,</w:t>
      </w:r>
      <w:r>
        <w:rPr>
          <w:lang w:val="en-US"/>
        </w:rPr>
        <w:t xml:space="preserve"> </w:t>
      </w:r>
      <w:r>
        <w:t>ethnie</w:t>
      </w:r>
    </w:p>
    <w:p w:rsidR="00844F5A" w:rsidRDefault="00FE1CA4" w:rsidP="00FE1CA4">
      <w:pPr>
        <w:pStyle w:val="Paragraphedeliste"/>
        <w:numPr>
          <w:ilvl w:val="1"/>
          <w:numId w:val="2"/>
        </w:numPr>
      </w:pPr>
      <w:r>
        <w:t>Antécédent familial de grossesse multiple</w:t>
      </w:r>
    </w:p>
    <w:p w:rsidR="00844F5A" w:rsidRDefault="00FE1CA4">
      <w:pPr>
        <w:pStyle w:val="Titre1"/>
      </w:pPr>
      <w:r>
        <w:rPr>
          <w:lang w:val="en-US"/>
        </w:rPr>
        <w:t xml:space="preserve">Diagnostics </w:t>
      </w:r>
      <w:r>
        <w:rPr>
          <w:lang w:val="en-US"/>
        </w:rPr>
        <w:t xml:space="preserve">différentiels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Hématome périovulaire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Défaut d'accolement</w:t>
      </w:r>
      <w:r>
        <w:rPr>
          <w:rStyle w:val="Appelnotedebasdep"/>
        </w:rPr>
        <w:footnoteReference w:id="3"/>
      </w:r>
      <w:r>
        <w:rPr>
          <w:lang w:val="en-US"/>
        </w:rPr>
        <w:t xml:space="preserve"> temporaire des caduques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Grossesse molaire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Hydramnios sur grossesse unique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Fibrome et grossesse unique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Macrosomie </w:t>
      </w:r>
    </w:p>
    <w:p w:rsidR="00844F5A" w:rsidRDefault="00FE1CA4">
      <w:pPr>
        <w:pStyle w:val="Titre1"/>
      </w:pPr>
      <w:r>
        <w:rPr>
          <w:lang w:val="en-US"/>
        </w:rPr>
        <w:t>Evolution et complications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Prématuré (50%)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RCIU: syndrome transfuseur-transfusé, </w:t>
      </w:r>
      <w:r>
        <w:rPr>
          <w:lang w:val="en-US"/>
        </w:rPr>
        <w:t xml:space="preserve">spécifique des grossesses monozygotes, surtout monochoriale biamniotique 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HTA gravidique simple, pré-éclampsie, éclampsie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Mortalité périnatale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MFIU du foetus transfuseur avec risque de mort in utéro de Jumeau survivant et de lesions neurologiques sévères</w:t>
      </w:r>
    </w:p>
    <w:p w:rsidR="00844F5A" w:rsidRDefault="00FE1CA4" w:rsidP="00FE1CA4">
      <w:pPr>
        <w:pStyle w:val="Paragraphedeliste"/>
        <w:numPr>
          <w:ilvl w:val="0"/>
          <w:numId w:val="2"/>
        </w:numPr>
      </w:pPr>
      <w:r>
        <w:rPr>
          <w:lang w:val="en-US"/>
        </w:rPr>
        <w:t>M</w:t>
      </w:r>
      <w:r>
        <w:rPr>
          <w:lang w:val="en-US"/>
        </w:rPr>
        <w:t>alformations</w:t>
      </w:r>
    </w:p>
    <w:p w:rsidR="00844F5A" w:rsidRDefault="00844F5A">
      <w:pPr>
        <w:pStyle w:val="Paragraphedeliste"/>
      </w:pPr>
    </w:p>
    <w:sectPr w:rsidR="00844F5A">
      <w:headerReference w:type="default" r:id="rId10"/>
      <w:footerReference w:type="default" r:id="rId11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1CA4" w:rsidRDefault="00FE1CA4">
      <w:pPr>
        <w:spacing w:line="240" w:lineRule="auto"/>
      </w:pPr>
      <w:r>
        <w:separator/>
      </w:r>
    </w:p>
  </w:endnote>
  <w:endnote w:type="continuationSeparator" w:id="0">
    <w:p w:rsidR="00FE1CA4" w:rsidRDefault="00FE1C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F5A" w:rsidRDefault="00FE1CA4">
    <w:pPr>
      <w:pStyle w:val="En-tte"/>
      <w:jc w:val="right"/>
      <w:rPr>
        <w:highlight w:val="lightGray"/>
      </w:rPr>
    </w:pPr>
    <w:r>
      <w:rPr>
        <w:b/>
        <w:bCs/>
        <w:color w:val="D66565"/>
        <w:sz w:val="24"/>
        <w:szCs w:val="24"/>
        <w:highlight w:val="lightGray"/>
        <w:lang w:val="en-US"/>
      </w:rPr>
      <w:t>Gynéco-ob / 23 Juillet 2025. 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1CA4" w:rsidRDefault="00FE1CA4">
      <w:pPr>
        <w:spacing w:line="240" w:lineRule="auto"/>
      </w:pPr>
      <w:r>
        <w:separator/>
      </w:r>
    </w:p>
  </w:footnote>
  <w:footnote w:type="continuationSeparator" w:id="0">
    <w:p w:rsidR="00FE1CA4" w:rsidRDefault="00FE1CA4">
      <w:pPr>
        <w:spacing w:line="240" w:lineRule="auto"/>
      </w:pPr>
      <w:r>
        <w:continuationSeparator/>
      </w:r>
    </w:p>
  </w:footnote>
  <w:footnote w:id="1">
    <w:p w:rsidR="00844F5A" w:rsidRDefault="00FE1CA4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5 jours</w:t>
      </w:r>
    </w:p>
  </w:footnote>
  <w:footnote w:id="2">
    <w:p w:rsidR="00844F5A" w:rsidRDefault="00FE1CA4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Tension douloureuse des seins</w:t>
      </w:r>
    </w:p>
  </w:footnote>
  <w:footnote w:id="3">
    <w:p w:rsidR="00844F5A" w:rsidRDefault="00FE1CA4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noProof/>
        </w:rPr>
        <w:drawing>
          <wp:inline distT="0" distB="0" distL="0" distR="0">
            <wp:extent cx="759855" cy="635000"/>
            <wp:effectExtent l="0" t="0" r="0" b="0"/>
            <wp:docPr id="614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1" cstate="print"/>
                    <a:srcRect/>
                    <a:stretch/>
                  </pic:blipFill>
                  <pic:spPr>
                    <a:xfrm>
                      <a:off x="0" y="0"/>
                      <a:ext cx="75985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F5A" w:rsidRDefault="00844F5A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D"/>
    <w:multiLevelType w:val="hybridMultilevel"/>
    <w:tmpl w:val="68D2B87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E"/>
    <w:multiLevelType w:val="hybridMultilevel"/>
    <w:tmpl w:val="379E29D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1F"/>
    <w:multiLevelType w:val="hybridMultilevel"/>
    <w:tmpl w:val="1A0CB07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5A"/>
    <w:rsid w:val="0059401B"/>
    <w:rsid w:val="00844F5A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E56BFE-B97A-459F-96D6-F41042F1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401B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9401B"/>
    <w:pPr>
      <w:keepNext/>
      <w:keepLines/>
      <w:numPr>
        <w:numId w:val="4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9401B"/>
    <w:pPr>
      <w:keepNext/>
      <w:keepLines/>
      <w:numPr>
        <w:ilvl w:val="1"/>
        <w:numId w:val="4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semiHidden/>
    <w:unhideWhenUsed/>
    <w:qFormat/>
    <w:rsid w:val="0059401B"/>
    <w:pPr>
      <w:keepNext/>
      <w:keepLines/>
      <w:numPr>
        <w:ilvl w:val="2"/>
        <w:numId w:val="4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59401B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59401B"/>
    <w:pPr>
      <w:keepNext/>
      <w:keepLines/>
      <w:numPr>
        <w:ilvl w:val="4"/>
        <w:numId w:val="4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59401B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9401B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9401B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9401B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01B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9401B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59401B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59401B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59401B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59401B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9401B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9401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9401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9401B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9401B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59401B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59401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401B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9401B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9401B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9401B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9401B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59401B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401B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401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401B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9401B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9401B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9401B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9401B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9401B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9401B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59401B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21</cp:revision>
  <dcterms:created xsi:type="dcterms:W3CDTF">2025-07-25T09:46:00Z</dcterms:created>
  <dcterms:modified xsi:type="dcterms:W3CDTF">2025-07-27T23:28:00Z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57a0009ad78341b8892bb97b7a8ae709</vt:lpwstr>
  </property>
</Properties>
</file>