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8995B" w14:textId="7D2A0779" w:rsidR="00F5492E" w:rsidRPr="00212502" w:rsidRDefault="002C182D" w:rsidP="002C182D">
      <w:pPr>
        <w:pStyle w:val="Titre"/>
        <w:spacing w:line="360" w:lineRule="auto"/>
        <w:rPr>
          <w:rFonts w:eastAsia="Calibri" w:cs="Times New Roman"/>
        </w:rPr>
      </w:pPr>
      <w:r w:rsidRPr="00212502">
        <w:rPr>
          <w:rFonts w:eastAsia="Calibri" w:cs="Times New Roman"/>
        </w:rPr>
        <w:t>Leucorrh</w:t>
      </w:r>
      <w:r>
        <w:rPr>
          <w:rFonts w:eastAsia="Calibri" w:cs="Times New Roman"/>
        </w:rPr>
        <w:t>é</w:t>
      </w:r>
      <w:r w:rsidRPr="00212502">
        <w:rPr>
          <w:rFonts w:eastAsia="Calibri" w:cs="Times New Roman"/>
        </w:rPr>
        <w:t>es</w:t>
      </w:r>
    </w:p>
    <w:p w14:paraId="4D2FEE3B" w14:textId="77777777" w:rsidR="00F5492E" w:rsidRPr="00F5492E" w:rsidRDefault="00F5492E" w:rsidP="006552EA">
      <w:pPr>
        <w:spacing w:after="160"/>
        <w:jc w:val="right"/>
        <w:rPr>
          <w:rFonts w:eastAsia="Calibri" w:cs="Times New Roman"/>
          <w:b/>
          <w:bCs/>
          <w:color w:val="C00000"/>
        </w:rPr>
      </w:pPr>
      <w:r w:rsidRPr="00F5492E">
        <w:rPr>
          <w:rFonts w:eastAsia="Calibri" w:cs="Times New Roman"/>
          <w:b/>
          <w:bCs/>
          <w:color w:val="C00000"/>
        </w:rPr>
        <w:t xml:space="preserve">OBJECTIFS </w:t>
      </w:r>
    </w:p>
    <w:p w14:paraId="42D333C9" w14:textId="77777777" w:rsidR="00F5492E" w:rsidRPr="00F5492E" w:rsidRDefault="00F5492E" w:rsidP="006552EA">
      <w:pPr>
        <w:spacing w:after="160"/>
        <w:ind w:left="720"/>
        <w:contextualSpacing/>
        <w:jc w:val="right"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Définir une leucorrhée </w:t>
      </w:r>
    </w:p>
    <w:p w14:paraId="3B768481" w14:textId="77777777" w:rsidR="00F5492E" w:rsidRPr="00F5492E" w:rsidRDefault="00F5492E" w:rsidP="006552EA">
      <w:pPr>
        <w:spacing w:after="160"/>
        <w:ind w:left="720"/>
        <w:contextualSpacing/>
        <w:jc w:val="right"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Diagnostiquer une leucorrhée pathologique </w:t>
      </w:r>
    </w:p>
    <w:p w14:paraId="687601D4" w14:textId="3AFA0F9A" w:rsidR="00F5492E" w:rsidRPr="002C182D" w:rsidRDefault="00F5492E" w:rsidP="006552EA">
      <w:pPr>
        <w:spacing w:after="160"/>
        <w:ind w:left="720"/>
        <w:contextualSpacing/>
        <w:jc w:val="right"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Enumérer les étiologies d’une leucorrhée pathologique </w:t>
      </w:r>
    </w:p>
    <w:p w14:paraId="12310779" w14:textId="1AF4CB81" w:rsidR="00F5492E" w:rsidRPr="00212502" w:rsidRDefault="002C182D" w:rsidP="002C182D">
      <w:pPr>
        <w:pStyle w:val="Titre1"/>
        <w:rPr>
          <w:rFonts w:eastAsia="Calibri" w:cs="Times New Roman"/>
        </w:rPr>
      </w:pPr>
      <w:r w:rsidRPr="00212502">
        <w:rPr>
          <w:rFonts w:eastAsia="Calibri" w:cs="Times New Roman"/>
        </w:rPr>
        <w:t>Introduc</w:t>
      </w:r>
      <w:bookmarkStart w:id="0" w:name="_GoBack"/>
      <w:bookmarkEnd w:id="0"/>
      <w:r w:rsidRPr="00212502">
        <w:rPr>
          <w:rFonts w:eastAsia="Calibri" w:cs="Times New Roman"/>
        </w:rPr>
        <w:t xml:space="preserve">tion </w:t>
      </w:r>
    </w:p>
    <w:p w14:paraId="7DF85E2E" w14:textId="765E8810" w:rsidR="00F5492E" w:rsidRPr="00212502" w:rsidRDefault="00F5492E" w:rsidP="002C182D">
      <w:pPr>
        <w:pStyle w:val="Titre2"/>
        <w:rPr>
          <w:rFonts w:eastAsia="Calibri" w:cs="Times New Roman"/>
        </w:rPr>
      </w:pPr>
      <w:r w:rsidRPr="00212502">
        <w:rPr>
          <w:rFonts w:eastAsia="Calibri" w:cs="Times New Roman"/>
        </w:rPr>
        <w:t>Définition </w:t>
      </w:r>
    </w:p>
    <w:p w14:paraId="3C4217E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Ecoulement non sanglant provenant de l’appareil génital féminin : endocol, col, vagin, vestibule vulvaire </w:t>
      </w:r>
    </w:p>
    <w:p w14:paraId="23E96FB0" w14:textId="5834BF24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Peut-être physiologique ou pathologique </w:t>
      </w:r>
    </w:p>
    <w:p w14:paraId="4D6E7540" w14:textId="342FD6F7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Intérêts </w:t>
      </w:r>
    </w:p>
    <w:p w14:paraId="2194E893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Motif de consultation fréquente en gynécologie</w:t>
      </w:r>
    </w:p>
    <w:p w14:paraId="68AB1E73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Pathologie banale, mais à ne pas sous-estimer </w:t>
      </w:r>
    </w:p>
    <w:p w14:paraId="07BC13D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Infection génitale basse +++</w:t>
      </w:r>
    </w:p>
    <w:p w14:paraId="5551244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Grave selon les complications : </w:t>
      </w:r>
    </w:p>
    <w:p w14:paraId="24EA5C9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Stérilité, pelvipéritonite, sepsis</w:t>
      </w:r>
    </w:p>
    <w:p w14:paraId="4DEFC72E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Grave selon l’étiologie : </w:t>
      </w:r>
    </w:p>
    <w:p w14:paraId="0F965910" w14:textId="7BA5E5CC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Manifestations d’une maladie grave = cancer </w:t>
      </w:r>
      <w:proofErr w:type="spellStart"/>
      <w:r w:rsidRPr="00F5492E">
        <w:rPr>
          <w:rFonts w:eastAsia="Calibri" w:cs="Times New Roman"/>
        </w:rPr>
        <w:t>su</w:t>
      </w:r>
      <w:proofErr w:type="spellEnd"/>
      <w:r w:rsidRPr="00F5492E">
        <w:rPr>
          <w:rFonts w:eastAsia="Calibri" w:cs="Times New Roman"/>
        </w:rPr>
        <w:t xml:space="preserve"> col</w:t>
      </w:r>
    </w:p>
    <w:p w14:paraId="15E36C92" w14:textId="143515C8" w:rsidR="00F5492E" w:rsidRPr="00F5492E" w:rsidRDefault="002C182D" w:rsidP="002C182D">
      <w:pPr>
        <w:pStyle w:val="Titre1"/>
        <w:rPr>
          <w:rFonts w:eastAsia="Calibri"/>
        </w:rPr>
      </w:pPr>
      <w:r w:rsidRPr="00F5492E">
        <w:rPr>
          <w:rFonts w:eastAsia="Calibri"/>
        </w:rPr>
        <w:t>Physiopathologie</w:t>
      </w:r>
      <w:r w:rsidR="00F5492E" w:rsidRPr="00F5492E">
        <w:rPr>
          <w:rFonts w:eastAsia="Calibri"/>
        </w:rPr>
        <w:t xml:space="preserve"> </w:t>
      </w:r>
    </w:p>
    <w:p w14:paraId="50C8D888" w14:textId="7365AD47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Rappel physiologique </w:t>
      </w:r>
    </w:p>
    <w:p w14:paraId="4427BBCA" w14:textId="347A8985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Flore vaginal </w:t>
      </w:r>
    </w:p>
    <w:p w14:paraId="435BFAD1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Flore habituelle (dominante) = bacille de DODERLEIN </w:t>
      </w:r>
    </w:p>
    <w:p w14:paraId="3AB1F3E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Issue de la flore digestive : </w:t>
      </w:r>
    </w:p>
    <w:p w14:paraId="57E5AAF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Streptococcus </w:t>
      </w:r>
      <w:proofErr w:type="spellStart"/>
      <w:r w:rsidRPr="00F5492E">
        <w:rPr>
          <w:rFonts w:eastAsia="Calibri" w:cs="Times New Roman"/>
        </w:rPr>
        <w:t>agalactiae</w:t>
      </w:r>
      <w:proofErr w:type="spellEnd"/>
      <w:r w:rsidRPr="00F5492E">
        <w:rPr>
          <w:rFonts w:eastAsia="Calibri" w:cs="Times New Roman"/>
        </w:rPr>
        <w:t xml:space="preserve">, Enterococcus, entérobactéries dont E. coli +++, staphylocoque coagulase négative et positive, anaérobies, </w:t>
      </w:r>
      <w:proofErr w:type="spellStart"/>
      <w:r w:rsidRPr="00F5492E">
        <w:rPr>
          <w:rFonts w:eastAsia="Calibri" w:cs="Times New Roman"/>
        </w:rPr>
        <w:t>gardenella</w:t>
      </w:r>
      <w:proofErr w:type="spellEnd"/>
      <w:r w:rsidRPr="00F5492E">
        <w:rPr>
          <w:rFonts w:eastAsia="Calibri" w:cs="Times New Roman"/>
        </w:rPr>
        <w:t xml:space="preserve"> vaginalis, mycoplasmes, candida albicans</w:t>
      </w:r>
    </w:p>
    <w:p w14:paraId="20DBE633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Exceptionnelle : flore oropharyngée de l’homme  </w:t>
      </w:r>
    </w:p>
    <w:p w14:paraId="2F1AF5AA" w14:textId="77777777" w:rsidR="00F5492E" w:rsidRPr="00F5492E" w:rsidRDefault="00F5492E" w:rsidP="002C182D">
      <w:pPr>
        <w:spacing w:after="160"/>
        <w:rPr>
          <w:rFonts w:eastAsia="Calibri" w:cs="Times New Roman"/>
        </w:rPr>
      </w:pPr>
    </w:p>
    <w:p w14:paraId="384F4B02" w14:textId="4A3B8327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lastRenderedPageBreak/>
        <w:t>Moyens de défense</w:t>
      </w:r>
    </w:p>
    <w:p w14:paraId="54FD53CE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Acidité vaginale (pH 3,8 à 4,5) : transformation en acide lactique du glycogène accumulé dans les cellules épithéliales (bacille de DODERLEIN +++) = non favorable au développement bactérien </w:t>
      </w:r>
    </w:p>
    <w:p w14:paraId="1584FC0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Immunoglobuline et enzymes contenues dans la glaire cervicale </w:t>
      </w:r>
    </w:p>
    <w:p w14:paraId="6B563F60" w14:textId="21BD00BE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Barrière physique : glaire cervicale (écoulement permanent), replis des lèvres </w:t>
      </w:r>
    </w:p>
    <w:p w14:paraId="66CA2E9F" w14:textId="5D328280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Leucorrhées physiologiques </w:t>
      </w:r>
    </w:p>
    <w:p w14:paraId="756B8790" w14:textId="78345A7E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Glaire cervicale </w:t>
      </w:r>
    </w:p>
    <w:p w14:paraId="393C9E8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Secrétée par les cellules cylindriques de l’endocol</w:t>
      </w:r>
    </w:p>
    <w:p w14:paraId="659AFE74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Augmente en phase </w:t>
      </w:r>
      <w:proofErr w:type="spellStart"/>
      <w:r w:rsidRPr="00F5492E">
        <w:rPr>
          <w:rFonts w:eastAsia="Calibri" w:cs="Times New Roman"/>
        </w:rPr>
        <w:t>préovulatoire</w:t>
      </w:r>
      <w:proofErr w:type="spellEnd"/>
      <w:r w:rsidRPr="00F5492E">
        <w:rPr>
          <w:rFonts w:eastAsia="Calibri" w:cs="Times New Roman"/>
        </w:rPr>
        <w:t xml:space="preserve"> (J8 – J15) et très abondante lors de l’ovulation </w:t>
      </w:r>
    </w:p>
    <w:p w14:paraId="2C743A53" w14:textId="28191A9B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Translucide, cristallisant en feuille de fougère, acellulaire</w:t>
      </w:r>
    </w:p>
    <w:p w14:paraId="01EE5613" w14:textId="7FA5D98D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Desquamation vaginale </w:t>
      </w:r>
    </w:p>
    <w:p w14:paraId="2F68DB2A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Laiteuse, peu abondante, opalescente </w:t>
      </w:r>
    </w:p>
    <w:p w14:paraId="64AC9FF1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Constituée de cellules superficielles du vagin, sans polynucléaires </w:t>
      </w:r>
    </w:p>
    <w:p w14:paraId="61809D36" w14:textId="08D54BA2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Augmentant en période prémenstruelle </w:t>
      </w:r>
    </w:p>
    <w:p w14:paraId="1E1BFDFB" w14:textId="405C9527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Facteurs de déséquilibre </w:t>
      </w:r>
    </w:p>
    <w:p w14:paraId="32EB4619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Age : moins de bacille de DODERLEIN avant la puberté et après la ménopause </w:t>
      </w:r>
    </w:p>
    <w:p w14:paraId="06ED049A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Cycle : moins d’aérobies avant et après les règles </w:t>
      </w:r>
    </w:p>
    <w:p w14:paraId="2F986590" w14:textId="4C183997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Contraception : plus d’anaérobies en cas de stérilet </w:t>
      </w:r>
    </w:p>
    <w:p w14:paraId="047D07ED" w14:textId="0C569457" w:rsidR="00F5492E" w:rsidRPr="00F5492E" w:rsidRDefault="002C182D" w:rsidP="002C182D">
      <w:pPr>
        <w:pStyle w:val="Titre1"/>
        <w:rPr>
          <w:rFonts w:eastAsia="Calibri"/>
        </w:rPr>
      </w:pPr>
      <w:r w:rsidRPr="00F5492E">
        <w:rPr>
          <w:rFonts w:eastAsia="Calibri"/>
        </w:rPr>
        <w:t xml:space="preserve">Diagnostic </w:t>
      </w:r>
    </w:p>
    <w:p w14:paraId="4BA5D4EE" w14:textId="0D6708B8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 xml:space="preserve">Diagnostic positif  </w:t>
      </w:r>
    </w:p>
    <w:p w14:paraId="2FB13081" w14:textId="4323FD5E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interrogatoire et examen clinique au spéculum de la patiente = écoulement non sanglant issu des voies génitales féminines </w:t>
      </w:r>
    </w:p>
    <w:p w14:paraId="3B9EA226" w14:textId="3AC40052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Diagnostic différentiel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5492E" w:rsidRPr="00F5492E" w14:paraId="42555E71" w14:textId="77777777" w:rsidTr="000753EA">
        <w:tc>
          <w:tcPr>
            <w:tcW w:w="4531" w:type="dxa"/>
          </w:tcPr>
          <w:p w14:paraId="4FBF6B1D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  <w:b/>
                <w:bCs/>
              </w:rPr>
            </w:pPr>
            <w:r w:rsidRPr="00F5492E">
              <w:rPr>
                <w:rFonts w:eastAsia="Calibri" w:cs="Times New Roman"/>
                <w:b/>
                <w:bCs/>
              </w:rPr>
              <w:t>LEUCORRHEE PHYSIOLOGIQUE</w:t>
            </w:r>
          </w:p>
        </w:tc>
        <w:tc>
          <w:tcPr>
            <w:tcW w:w="4531" w:type="dxa"/>
          </w:tcPr>
          <w:p w14:paraId="7D7D132B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  <w:b/>
                <w:bCs/>
              </w:rPr>
            </w:pPr>
            <w:r w:rsidRPr="00F5492E">
              <w:rPr>
                <w:rFonts w:eastAsia="Calibri" w:cs="Times New Roman"/>
                <w:b/>
                <w:bCs/>
              </w:rPr>
              <w:t>LEUCORRHEE PATHOLOGIQUE</w:t>
            </w:r>
          </w:p>
        </w:tc>
      </w:tr>
      <w:tr w:rsidR="00F5492E" w:rsidRPr="00F5492E" w14:paraId="67D3F63F" w14:textId="77777777" w:rsidTr="000753EA">
        <w:tc>
          <w:tcPr>
            <w:tcW w:w="4531" w:type="dxa"/>
          </w:tcPr>
          <w:p w14:paraId="6014FEC6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Blanc ou transparent</w:t>
            </w:r>
          </w:p>
          <w:p w14:paraId="207ED716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Inodore</w:t>
            </w:r>
          </w:p>
          <w:p w14:paraId="3D0E22B6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Visqueux</w:t>
            </w:r>
          </w:p>
        </w:tc>
        <w:tc>
          <w:tcPr>
            <w:tcW w:w="4531" w:type="dxa"/>
          </w:tcPr>
          <w:p w14:paraId="6256710A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Jaune, verdâtre, gris</w:t>
            </w:r>
          </w:p>
          <w:p w14:paraId="293B6D11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Malodorante</w:t>
            </w:r>
          </w:p>
        </w:tc>
      </w:tr>
      <w:tr w:rsidR="00F5492E" w:rsidRPr="00F5492E" w14:paraId="6DE167A7" w14:textId="77777777" w:rsidTr="000753EA">
        <w:tc>
          <w:tcPr>
            <w:tcW w:w="4531" w:type="dxa"/>
          </w:tcPr>
          <w:p w14:paraId="499ABD41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Pas de SF associées</w:t>
            </w:r>
          </w:p>
          <w:p w14:paraId="505B55CE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Muqueuses vaginale et cervicale saines</w:t>
            </w:r>
          </w:p>
        </w:tc>
        <w:tc>
          <w:tcPr>
            <w:tcW w:w="4531" w:type="dxa"/>
          </w:tcPr>
          <w:p w14:paraId="5AF7AEF4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Prurit, brulure vulvaire, douleur ou dyspareunie</w:t>
            </w:r>
          </w:p>
          <w:p w14:paraId="6AFFAECA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Signe chez le partenaire possible</w:t>
            </w:r>
          </w:p>
        </w:tc>
      </w:tr>
      <w:tr w:rsidR="00F5492E" w:rsidRPr="00F5492E" w14:paraId="09C1C96F" w14:textId="77777777" w:rsidTr="000753EA">
        <w:tc>
          <w:tcPr>
            <w:tcW w:w="4531" w:type="dxa"/>
          </w:tcPr>
          <w:p w14:paraId="7B525DA3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 xml:space="preserve">+++ en </w:t>
            </w:r>
            <w:proofErr w:type="spellStart"/>
            <w:r w:rsidRPr="00F5492E">
              <w:rPr>
                <w:rFonts w:eastAsia="Calibri" w:cs="Times New Roman"/>
              </w:rPr>
              <w:t>préovulatoire</w:t>
            </w:r>
            <w:proofErr w:type="spellEnd"/>
          </w:p>
        </w:tc>
        <w:tc>
          <w:tcPr>
            <w:tcW w:w="4531" w:type="dxa"/>
          </w:tcPr>
          <w:p w14:paraId="21DF2CAE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Pas de variation avec le cycle</w:t>
            </w:r>
          </w:p>
        </w:tc>
      </w:tr>
      <w:tr w:rsidR="00F5492E" w:rsidRPr="00F5492E" w14:paraId="46F3BB49" w14:textId="77777777" w:rsidTr="000753EA">
        <w:tc>
          <w:tcPr>
            <w:tcW w:w="4531" w:type="dxa"/>
          </w:tcPr>
          <w:p w14:paraId="6A595FF8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Riches en lactobacillus, peu de PNN, pas de germe</w:t>
            </w:r>
          </w:p>
        </w:tc>
        <w:tc>
          <w:tcPr>
            <w:tcW w:w="4531" w:type="dxa"/>
          </w:tcPr>
          <w:p w14:paraId="01C3933A" w14:textId="77777777" w:rsidR="00F5492E" w:rsidRPr="00F5492E" w:rsidRDefault="00F5492E" w:rsidP="002C182D">
            <w:pPr>
              <w:spacing w:line="360" w:lineRule="auto"/>
              <w:jc w:val="center"/>
              <w:rPr>
                <w:rFonts w:eastAsia="Calibri" w:cs="Times New Roman"/>
              </w:rPr>
            </w:pPr>
            <w:r w:rsidRPr="00F5492E">
              <w:rPr>
                <w:rFonts w:eastAsia="Calibri" w:cs="Times New Roman"/>
              </w:rPr>
              <w:t>Lactobacillus rare, germe avec PNN altéré</w:t>
            </w:r>
          </w:p>
        </w:tc>
      </w:tr>
    </w:tbl>
    <w:p w14:paraId="0F64C79A" w14:textId="77777777" w:rsidR="00F5492E" w:rsidRPr="00F5492E" w:rsidRDefault="00F5492E" w:rsidP="002C182D">
      <w:pPr>
        <w:spacing w:after="160"/>
        <w:rPr>
          <w:rFonts w:eastAsia="Calibri" w:cs="Times New Roman"/>
        </w:rPr>
      </w:pPr>
    </w:p>
    <w:p w14:paraId="284A0E87" w14:textId="21CFF77A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 xml:space="preserve">Diagnostic étiologique  </w:t>
      </w:r>
    </w:p>
    <w:p w14:paraId="3C1C11A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Examen clinique et examen direct au MO +++</w:t>
      </w:r>
    </w:p>
    <w:p w14:paraId="1BDD3D5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Examen microbiologique des prélèvements vaginaux </w:t>
      </w:r>
    </w:p>
    <w:p w14:paraId="1187AD2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Mise en évidence de levures, trichomonas, germes banals</w:t>
      </w:r>
    </w:p>
    <w:p w14:paraId="7C698BEE" w14:textId="766948EC" w:rsidR="002C182D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Culture</w:t>
      </w:r>
      <w:r w:rsidR="002C182D">
        <w:rPr>
          <w:rFonts w:eastAsia="Calibri" w:cs="Times New Roman"/>
        </w:rPr>
        <w:tab/>
      </w:r>
      <w:r w:rsidR="002C182D">
        <w:rPr>
          <w:rFonts w:eastAsia="Calibri" w:cs="Times New Roman"/>
        </w:rPr>
        <w:tab/>
      </w:r>
    </w:p>
    <w:p w14:paraId="6BEB8CC2" w14:textId="4DE96676" w:rsidR="00F5492E" w:rsidRPr="00F5492E" w:rsidRDefault="002C182D" w:rsidP="002C182D">
      <w:pPr>
        <w:pStyle w:val="Titre1"/>
        <w:rPr>
          <w:rFonts w:eastAsia="Calibri"/>
        </w:rPr>
      </w:pPr>
      <w:proofErr w:type="spellStart"/>
      <w:r w:rsidRPr="00F5492E">
        <w:rPr>
          <w:rFonts w:eastAsia="Calibri"/>
        </w:rPr>
        <w:t>Demarche</w:t>
      </w:r>
      <w:proofErr w:type="spellEnd"/>
      <w:r w:rsidRPr="00F5492E">
        <w:rPr>
          <w:rFonts w:eastAsia="Calibri"/>
        </w:rPr>
        <w:t xml:space="preserve"> </w:t>
      </w:r>
      <w:proofErr w:type="spellStart"/>
      <w:r w:rsidRPr="00F5492E">
        <w:rPr>
          <w:rFonts w:eastAsia="Calibri"/>
        </w:rPr>
        <w:t>etiologique</w:t>
      </w:r>
      <w:proofErr w:type="spellEnd"/>
      <w:r w:rsidRPr="00F5492E">
        <w:rPr>
          <w:rFonts w:eastAsia="Calibri"/>
        </w:rPr>
        <w:t xml:space="preserve"> </w:t>
      </w:r>
    </w:p>
    <w:p w14:paraId="4683E444" w14:textId="7F714A35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Interrogatoire </w:t>
      </w:r>
    </w:p>
    <w:p w14:paraId="4CD8CCDC" w14:textId="788210E6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Terrain </w:t>
      </w:r>
    </w:p>
    <w:p w14:paraId="3437EAB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Age, immunodépression, diabète </w:t>
      </w:r>
    </w:p>
    <w:p w14:paraId="603348D0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ATCD personnels GOB et médicaux </w:t>
      </w:r>
    </w:p>
    <w:p w14:paraId="2A7D3C77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T3 reçu : ATB, contraception…</w:t>
      </w:r>
    </w:p>
    <w:p w14:paraId="14C461C5" w14:textId="38ADB14E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Partenaires sexuels : signes fonctionnels éventuels </w:t>
      </w:r>
    </w:p>
    <w:p w14:paraId="4CE78F5E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Ecoulement : </w:t>
      </w:r>
    </w:p>
    <w:p w14:paraId="6A73E9F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Date de début (ancienneté)</w:t>
      </w:r>
    </w:p>
    <w:p w14:paraId="7BE3298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Couleur, abondance, odeur </w:t>
      </w:r>
    </w:p>
    <w:p w14:paraId="54BE0659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Variation avec le cycle menstruel </w:t>
      </w:r>
    </w:p>
    <w:p w14:paraId="27D8674F" w14:textId="1B074B1B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Circonstance de survenue : post-antibiothérapie, grossesse, stérilet, terrain favorisant (diabète, corticothérapie, immunodépression), après rapport sexuel…</w:t>
      </w:r>
    </w:p>
    <w:p w14:paraId="3400074F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 d’accompagnement : </w:t>
      </w:r>
    </w:p>
    <w:p w14:paraId="002531BA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Prurit vulvaire, brûlures vaginales</w:t>
      </w:r>
    </w:p>
    <w:p w14:paraId="2DF15FBF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Métrorragie</w:t>
      </w:r>
    </w:p>
    <w:p w14:paraId="1FF2FE8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Douleurs pelviennes, dyspareunie</w:t>
      </w:r>
    </w:p>
    <w:p w14:paraId="7DC82230" w14:textId="5343EC16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Pollakiurie, brûlures en fin de miction </w:t>
      </w:r>
    </w:p>
    <w:p w14:paraId="01D49A08" w14:textId="283D9A51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Examen physique </w:t>
      </w:r>
    </w:p>
    <w:p w14:paraId="5425CB7E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En dehors des règles, sans toilette au préalable </w:t>
      </w:r>
    </w:p>
    <w:p w14:paraId="48FC8F85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  <w:b/>
          <w:bCs/>
          <w:color w:val="00B050"/>
        </w:rPr>
      </w:pPr>
      <w:r w:rsidRPr="00F5492E">
        <w:rPr>
          <w:rFonts w:eastAsia="Calibri" w:cs="Times New Roman"/>
          <w:b/>
          <w:bCs/>
          <w:color w:val="00B050"/>
        </w:rPr>
        <w:t xml:space="preserve">Inspection de la région </w:t>
      </w:r>
      <w:proofErr w:type="spellStart"/>
      <w:r w:rsidRPr="00F5492E">
        <w:rPr>
          <w:rFonts w:eastAsia="Calibri" w:cs="Times New Roman"/>
          <w:b/>
          <w:bCs/>
          <w:color w:val="00B050"/>
        </w:rPr>
        <w:t>vulvo</w:t>
      </w:r>
      <w:proofErr w:type="spellEnd"/>
      <w:r w:rsidRPr="00F5492E">
        <w:rPr>
          <w:rFonts w:eastAsia="Calibri" w:cs="Times New Roman"/>
          <w:b/>
          <w:bCs/>
          <w:color w:val="00B050"/>
        </w:rPr>
        <w:t xml:space="preserve">-périnéale : </w:t>
      </w:r>
    </w:p>
    <w:p w14:paraId="1C1ABDA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Etat de la peau et de la muqueuse : congestion, œdème, lésion de grattage</w:t>
      </w:r>
    </w:p>
    <w:p w14:paraId="48E99AEF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Ecoulement au niveau de l’urètre, glande de SKENE ou de BARTOLIN </w:t>
      </w:r>
    </w:p>
    <w:p w14:paraId="44E9ADAC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Vésicules, ulcérations </w:t>
      </w:r>
    </w:p>
    <w:p w14:paraId="53B87A1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  <w:b/>
          <w:bCs/>
          <w:color w:val="00B050"/>
        </w:rPr>
      </w:pPr>
      <w:r w:rsidRPr="00F5492E">
        <w:rPr>
          <w:rFonts w:eastAsia="Calibri" w:cs="Times New Roman"/>
          <w:b/>
          <w:bCs/>
          <w:color w:val="00B050"/>
        </w:rPr>
        <w:t xml:space="preserve">Examen au spéculum vaginal : </w:t>
      </w:r>
    </w:p>
    <w:p w14:paraId="672FF587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Caractéristiques de la leucorrhée </w:t>
      </w:r>
    </w:p>
    <w:p w14:paraId="35EB38F3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Etat de la muqueuse vaginale et cervicale </w:t>
      </w:r>
    </w:p>
    <w:p w14:paraId="1BF49440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CE </w:t>
      </w:r>
    </w:p>
    <w:p w14:paraId="10E82A27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Col utérin : ectropion, glaire cervicale, inflammations </w:t>
      </w:r>
    </w:p>
    <w:p w14:paraId="35A5D7E9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Prélèvement pour l’examen extemporané de la glaire et des sécrétions vaginales </w:t>
      </w:r>
    </w:p>
    <w:p w14:paraId="3658D2E6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  <w:b/>
          <w:bCs/>
          <w:color w:val="00B050"/>
        </w:rPr>
      </w:pPr>
      <w:r w:rsidRPr="00F5492E">
        <w:rPr>
          <w:rFonts w:eastAsia="Calibri" w:cs="Times New Roman"/>
          <w:b/>
          <w:bCs/>
          <w:color w:val="00B050"/>
        </w:rPr>
        <w:t xml:space="preserve">Toucher vaginal : </w:t>
      </w:r>
    </w:p>
    <w:p w14:paraId="089F7F73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Recherche de douleur à la mobilisation de l’utérus </w:t>
      </w:r>
    </w:p>
    <w:p w14:paraId="69E91399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Annexes, culs de sac </w:t>
      </w:r>
    </w:p>
    <w:p w14:paraId="2DA1D6F5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Massage de la zone sous-urétrale (urétrite)</w:t>
      </w:r>
    </w:p>
    <w:p w14:paraId="34C050F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Doigtier </w:t>
      </w:r>
    </w:p>
    <w:p w14:paraId="50EE0285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  <w:b/>
          <w:bCs/>
          <w:color w:val="00B050"/>
        </w:rPr>
      </w:pPr>
      <w:r w:rsidRPr="00F5492E">
        <w:rPr>
          <w:rFonts w:eastAsia="Calibri" w:cs="Times New Roman"/>
          <w:b/>
          <w:bCs/>
          <w:color w:val="00B050"/>
        </w:rPr>
        <w:t xml:space="preserve">Examen général : </w:t>
      </w:r>
    </w:p>
    <w:p w14:paraId="55E38168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Fièvre, examen abdomen, aires ganglionnaires (inguinales)</w:t>
      </w:r>
    </w:p>
    <w:p w14:paraId="13E84B8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  <w:b/>
          <w:bCs/>
          <w:color w:val="00B050"/>
        </w:rPr>
      </w:pPr>
      <w:r w:rsidRPr="00F5492E">
        <w:rPr>
          <w:rFonts w:eastAsia="Calibri" w:cs="Times New Roman"/>
          <w:b/>
          <w:bCs/>
          <w:color w:val="00B050"/>
        </w:rPr>
        <w:t xml:space="preserve">Examen du partenaire : </w:t>
      </w:r>
    </w:p>
    <w:p w14:paraId="474AE45B" w14:textId="1B7A7462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Souhaitable </w:t>
      </w:r>
    </w:p>
    <w:p w14:paraId="1F273FAB" w14:textId="64AC2381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Examen extemporané des sécrétions vaginales </w:t>
      </w:r>
    </w:p>
    <w:p w14:paraId="3FC236F9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Au microscope optique : </w:t>
      </w:r>
    </w:p>
    <w:p w14:paraId="18C3BC9C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1</w:t>
      </w:r>
      <w:r w:rsidRPr="00F5492E">
        <w:rPr>
          <w:rFonts w:eastAsia="Calibri" w:cs="Times New Roman"/>
          <w:vertAlign w:val="superscript"/>
        </w:rPr>
        <w:t>ère</w:t>
      </w:r>
      <w:r w:rsidRPr="00F5492E">
        <w:rPr>
          <w:rFonts w:eastAsia="Calibri" w:cs="Times New Roman"/>
        </w:rPr>
        <w:t xml:space="preserve"> lame : sérum physio ** clue </w:t>
      </w:r>
      <w:proofErr w:type="spellStart"/>
      <w:r w:rsidRPr="00F5492E">
        <w:rPr>
          <w:rFonts w:eastAsia="Calibri" w:cs="Times New Roman"/>
        </w:rPr>
        <w:t>cells</w:t>
      </w:r>
      <w:proofErr w:type="spellEnd"/>
      <w:r w:rsidRPr="00F5492E">
        <w:rPr>
          <w:rFonts w:eastAsia="Calibri" w:cs="Times New Roman"/>
        </w:rPr>
        <w:t xml:space="preserve">, trichomonas, PNN altérés </w:t>
      </w:r>
    </w:p>
    <w:p w14:paraId="28277175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2</w:t>
      </w:r>
      <w:r w:rsidRPr="00F5492E">
        <w:rPr>
          <w:rFonts w:eastAsia="Calibri" w:cs="Times New Roman"/>
          <w:vertAlign w:val="superscript"/>
        </w:rPr>
        <w:t>ème</w:t>
      </w:r>
      <w:r w:rsidRPr="00F5492E">
        <w:rPr>
          <w:rFonts w:eastAsia="Calibri" w:cs="Times New Roman"/>
        </w:rPr>
        <w:t xml:space="preserve"> lame : KOH 5% ** spore, filament mycélien </w:t>
      </w:r>
    </w:p>
    <w:p w14:paraId="6A9EA573" w14:textId="57E9A057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3</w:t>
      </w:r>
      <w:r w:rsidRPr="00F5492E">
        <w:rPr>
          <w:rFonts w:eastAsia="Calibri" w:cs="Times New Roman"/>
          <w:vertAlign w:val="superscript"/>
        </w:rPr>
        <w:t>ème</w:t>
      </w:r>
      <w:r w:rsidRPr="00F5492E">
        <w:rPr>
          <w:rFonts w:eastAsia="Calibri" w:cs="Times New Roman"/>
        </w:rPr>
        <w:t xml:space="preserve"> lame : KOH à 10% (sniff test) ** odeur de poisson pourri (</w:t>
      </w:r>
      <w:proofErr w:type="spellStart"/>
      <w:r w:rsidRPr="00F5492E">
        <w:rPr>
          <w:rFonts w:eastAsia="Calibri" w:cs="Times New Roman"/>
        </w:rPr>
        <w:t>Gardenella</w:t>
      </w:r>
      <w:proofErr w:type="spellEnd"/>
      <w:r w:rsidRPr="00F5492E">
        <w:rPr>
          <w:rFonts w:eastAsia="Calibri" w:cs="Times New Roman"/>
        </w:rPr>
        <w:t xml:space="preserve"> vaginalis +++, anaérobies…)</w:t>
      </w:r>
    </w:p>
    <w:p w14:paraId="633E2B2E" w14:textId="2F6F6BBC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>Examens complémentaires </w:t>
      </w:r>
    </w:p>
    <w:p w14:paraId="630B6DF5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Examen bactériologique du prélèvement :</w:t>
      </w:r>
    </w:p>
    <w:p w14:paraId="48863F9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Seulement si : </w:t>
      </w:r>
    </w:p>
    <w:p w14:paraId="6141AFA2" w14:textId="77777777" w:rsidR="00F5492E" w:rsidRPr="00F5492E" w:rsidRDefault="00F5492E" w:rsidP="00564672">
      <w:pPr>
        <w:numPr>
          <w:ilvl w:val="2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En faveur d’IGH, contexte d’IST, frottis sale sans Trichomonas ni levures, résultats de l’examen extemporané discordants avec la clinique </w:t>
      </w:r>
    </w:p>
    <w:p w14:paraId="2FFBD3C3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+/- culture, antibiogramme </w:t>
      </w:r>
    </w:p>
    <w:p w14:paraId="6AF7A79E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Bilan IST : sérologie HIV, syphilis, hépatite B et C </w:t>
      </w:r>
    </w:p>
    <w:p w14:paraId="54F31CEA" w14:textId="276CC336" w:rsidR="00F5492E" w:rsidRPr="002C182D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Dépistage chez le partenaire </w:t>
      </w:r>
    </w:p>
    <w:p w14:paraId="0DA92B02" w14:textId="3B65D6D3" w:rsidR="00F5492E" w:rsidRPr="00F5492E" w:rsidRDefault="00F5492E" w:rsidP="002C182D">
      <w:pPr>
        <w:pStyle w:val="Titre2"/>
        <w:rPr>
          <w:rFonts w:eastAsia="Calibri"/>
        </w:rPr>
      </w:pPr>
      <w:r w:rsidRPr="00F5492E">
        <w:rPr>
          <w:rFonts w:eastAsia="Calibri"/>
        </w:rPr>
        <w:t xml:space="preserve">Etiologies  </w:t>
      </w:r>
    </w:p>
    <w:p w14:paraId="2DE391B7" w14:textId="77777777" w:rsidR="00F5492E" w:rsidRPr="00F5492E" w:rsidRDefault="00F5492E" w:rsidP="002C182D">
      <w:pPr>
        <w:spacing w:after="160"/>
        <w:jc w:val="center"/>
        <w:rPr>
          <w:rFonts w:eastAsia="Calibri" w:cs="Times New Roman"/>
          <w:b/>
          <w:bCs/>
          <w:color w:val="0070C0"/>
        </w:rPr>
      </w:pPr>
      <w:r w:rsidRPr="00F5492E">
        <w:rPr>
          <w:rFonts w:eastAsia="Calibri" w:cs="Times New Roman"/>
          <w:b/>
          <w:bCs/>
          <w:noProof/>
          <w:color w:val="0070C0"/>
        </w:rPr>
        <w:drawing>
          <wp:inline distT="0" distB="0" distL="0" distR="0" wp14:anchorId="15888904" wp14:editId="31FD1EAB">
            <wp:extent cx="5760720" cy="25996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F6D8" w14:textId="6120F98C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Vulvovaginite à Trichomonas vaginalis </w:t>
      </w:r>
    </w:p>
    <w:p w14:paraId="2C5F7C6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Epidémiologie : </w:t>
      </w:r>
    </w:p>
    <w:p w14:paraId="6633931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15 à 20%, peut être asymptomatique dans 10 à 15%</w:t>
      </w:r>
    </w:p>
    <w:p w14:paraId="639FC5B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Facteurs favorisants : </w:t>
      </w:r>
    </w:p>
    <w:p w14:paraId="03717CF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Hypo-</w:t>
      </w:r>
      <w:proofErr w:type="spellStart"/>
      <w:r w:rsidRPr="00F5492E">
        <w:rPr>
          <w:rFonts w:eastAsia="Calibri" w:cs="Times New Roman"/>
        </w:rPr>
        <w:t>oestrogénie</w:t>
      </w:r>
      <w:proofErr w:type="spellEnd"/>
      <w:r w:rsidRPr="00F5492E">
        <w:rPr>
          <w:rFonts w:eastAsia="Calibri" w:cs="Times New Roman"/>
        </w:rPr>
        <w:t>, alcalinisation du milieu vaginal, IST</w:t>
      </w:r>
    </w:p>
    <w:p w14:paraId="33D4B886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02B7B28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Abondante, fluide, verdâtre, spumeux, nauséabonde </w:t>
      </w:r>
    </w:p>
    <w:p w14:paraId="5C483084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587A2B7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Vulve et col framboisés, TV douloureux </w:t>
      </w:r>
    </w:p>
    <w:p w14:paraId="61E3750F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SF :</w:t>
      </w:r>
    </w:p>
    <w:p w14:paraId="6E0EBD0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Prurit, dyspareunie</w:t>
      </w:r>
    </w:p>
    <w:p w14:paraId="46779E8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Examen direct : </w:t>
      </w:r>
    </w:p>
    <w:p w14:paraId="760A406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Protozoaire mobile (rond, flagellé, petit noyau, cytoplasme claire) + polynucléaires </w:t>
      </w:r>
    </w:p>
    <w:p w14:paraId="02552CE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Paraclinique :</w:t>
      </w:r>
    </w:p>
    <w:p w14:paraId="6272C840" w14:textId="5BDC03E9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Culture </w:t>
      </w:r>
    </w:p>
    <w:p w14:paraId="68791AA9" w14:textId="2409FD4B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 xml:space="preserve">Vulvovaginite à Neisseria </w:t>
      </w:r>
      <w:proofErr w:type="spellStart"/>
      <w:r w:rsidRPr="00F5492E">
        <w:rPr>
          <w:rFonts w:eastAsia="Calibri"/>
        </w:rPr>
        <w:t>gonnorrhoeae</w:t>
      </w:r>
      <w:proofErr w:type="spellEnd"/>
      <w:r w:rsidRPr="00F5492E">
        <w:rPr>
          <w:rFonts w:eastAsia="Calibri"/>
        </w:rPr>
        <w:t> </w:t>
      </w:r>
    </w:p>
    <w:p w14:paraId="0900B651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 Epidémiologie : </w:t>
      </w:r>
    </w:p>
    <w:p w14:paraId="7B5EEAA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Peut-être asymptomatique</w:t>
      </w:r>
    </w:p>
    <w:p w14:paraId="035C4550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 favorisant : </w:t>
      </w:r>
    </w:p>
    <w:p w14:paraId="05DBB64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Partenaire sexuel multiple (IST)</w:t>
      </w:r>
    </w:p>
    <w:p w14:paraId="58ED7034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 : </w:t>
      </w:r>
    </w:p>
    <w:p w14:paraId="27F658A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Jaune purulente</w:t>
      </w:r>
    </w:p>
    <w:p w14:paraId="30B2D4E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579DA503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ADP inguinale, vulvite, cervicite, IGH</w:t>
      </w:r>
    </w:p>
    <w:p w14:paraId="55D045C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 : </w:t>
      </w:r>
    </w:p>
    <w:p w14:paraId="3212778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Métrorragie, dysurie, urétrite chez le partenaire </w:t>
      </w:r>
    </w:p>
    <w:p w14:paraId="09815144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Paracliniques : </w:t>
      </w:r>
    </w:p>
    <w:p w14:paraId="34F9F5C0" w14:textId="1243CB27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Diplocoque gram négatif, culture sur gélose chocolat </w:t>
      </w:r>
    </w:p>
    <w:p w14:paraId="74558384" w14:textId="16D88E94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Vulvovaginite à Candida albicans </w:t>
      </w:r>
      <w:r w:rsidR="002C182D">
        <w:rPr>
          <w:rStyle w:val="Appelnotedebasdep"/>
          <w:rFonts w:eastAsia="Calibri"/>
        </w:rPr>
        <w:footnoteReference w:id="1"/>
      </w:r>
    </w:p>
    <w:p w14:paraId="0FA344B6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Epidémiologie : </w:t>
      </w:r>
    </w:p>
    <w:p w14:paraId="058FA10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10 à 15% (hôte habituel des 20 à 25% des femmes)</w:t>
      </w:r>
    </w:p>
    <w:p w14:paraId="7220879D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Facteurs favorisants : </w:t>
      </w:r>
    </w:p>
    <w:p w14:paraId="64FF9396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Modification de la flore vaginale (ATB, CTC, chimio, immunodépression)</w:t>
      </w:r>
    </w:p>
    <w:p w14:paraId="3BCDBD9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pH acide (grossesse, savons)</w:t>
      </w:r>
    </w:p>
    <w:p w14:paraId="5EEEB9A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0755CC56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Blanchâtre, comparable au lait du caillé, caséeux, inodore </w:t>
      </w:r>
    </w:p>
    <w:p w14:paraId="018CB259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0DA2AF2A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Vulve et col rouges, œdématiés, muqueuse vaginale rouge, saignant au contact</w:t>
      </w:r>
    </w:p>
    <w:p w14:paraId="3526A5E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Recherche de mycose digestive ou chez le partenaire </w:t>
      </w:r>
    </w:p>
    <w:p w14:paraId="26B6F3AF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 : </w:t>
      </w:r>
    </w:p>
    <w:p w14:paraId="53AF4638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Prurit vulvaire (60%)</w:t>
      </w:r>
    </w:p>
    <w:p w14:paraId="0625B909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Brulures (40%)</w:t>
      </w:r>
    </w:p>
    <w:p w14:paraId="7038529A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Dyspareunie </w:t>
      </w:r>
    </w:p>
    <w:p w14:paraId="3BC5D0F6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Examen direct (Potasse à 5%) : </w:t>
      </w:r>
    </w:p>
    <w:p w14:paraId="2EEE4050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Levures bourgeonnantes (filament mycélien)</w:t>
      </w:r>
    </w:p>
    <w:p w14:paraId="052619D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Cellules vaginales superficielles desquamées, peu de leucocytes </w:t>
      </w:r>
    </w:p>
    <w:p w14:paraId="65B834FB" w14:textId="42FF2796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 xml:space="preserve">Vulvovaginite à </w:t>
      </w:r>
      <w:proofErr w:type="spellStart"/>
      <w:r w:rsidRPr="00F5492E">
        <w:rPr>
          <w:rFonts w:eastAsia="Calibri"/>
        </w:rPr>
        <w:t>Gardenella</w:t>
      </w:r>
      <w:proofErr w:type="spellEnd"/>
      <w:r w:rsidRPr="00F5492E">
        <w:rPr>
          <w:rFonts w:eastAsia="Calibri"/>
        </w:rPr>
        <w:t xml:space="preserve"> vaginalis </w:t>
      </w:r>
    </w:p>
    <w:p w14:paraId="66D55E05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 favorisant : </w:t>
      </w:r>
    </w:p>
    <w:p w14:paraId="2284C1A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pH vaginal alcalin </w:t>
      </w:r>
    </w:p>
    <w:p w14:paraId="5A06FE36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59533AD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Gris mousseuses, peu abondantes, fluide, fade ou nauséabonde </w:t>
      </w:r>
    </w:p>
    <w:p w14:paraId="6904AF5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73C815D0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Vagin peu inflammé</w:t>
      </w:r>
    </w:p>
    <w:p w14:paraId="5DF9D20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 : </w:t>
      </w:r>
    </w:p>
    <w:p w14:paraId="53FA83E5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Aucun ou dyspareunie </w:t>
      </w:r>
    </w:p>
    <w:p w14:paraId="4CA2DAF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Examen direct : </w:t>
      </w:r>
    </w:p>
    <w:p w14:paraId="086E8AC0" w14:textId="5A267B95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Clue </w:t>
      </w:r>
      <w:proofErr w:type="spellStart"/>
      <w:r w:rsidRPr="00F5492E">
        <w:rPr>
          <w:rFonts w:eastAsia="Calibri" w:cs="Times New Roman"/>
        </w:rPr>
        <w:t>cells</w:t>
      </w:r>
      <w:proofErr w:type="spellEnd"/>
      <w:r w:rsidRPr="00F5492E">
        <w:rPr>
          <w:rFonts w:eastAsia="Calibri" w:cs="Times New Roman"/>
        </w:rPr>
        <w:t xml:space="preserve">, test à la potasse positif </w:t>
      </w:r>
    </w:p>
    <w:p w14:paraId="13CD9948" w14:textId="1D6FE625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Cervicite à Chlamydiae </w:t>
      </w:r>
    </w:p>
    <w:p w14:paraId="517E151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Epidémiologie : </w:t>
      </w:r>
    </w:p>
    <w:p w14:paraId="6CFC7E4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La plus fréquente </w:t>
      </w:r>
    </w:p>
    <w:p w14:paraId="2D846E76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Risque de GEU et de baisse de fertilité </w:t>
      </w:r>
    </w:p>
    <w:p w14:paraId="4C8E7F9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11C235E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Purulente </w:t>
      </w:r>
    </w:p>
    <w:p w14:paraId="6299A0A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3AB5DF9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Cervicite chronique </w:t>
      </w:r>
    </w:p>
    <w:p w14:paraId="6E4EABE5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Ou ectropion hypertrophique, œdématié saignant au contact </w:t>
      </w:r>
    </w:p>
    <w:p w14:paraId="5B25517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 : </w:t>
      </w:r>
    </w:p>
    <w:p w14:paraId="41B279E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Asymptomatique </w:t>
      </w:r>
    </w:p>
    <w:p w14:paraId="76FC481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Ou métrorragie, dysurie, douleur pelvienne </w:t>
      </w:r>
    </w:p>
    <w:p w14:paraId="4765C59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Arthrite réactionnelle </w:t>
      </w:r>
    </w:p>
    <w:p w14:paraId="077FCCC3" w14:textId="55080323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Inflammation oculaire </w:t>
      </w:r>
    </w:p>
    <w:p w14:paraId="4CDF0205" w14:textId="342671BC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Cervicite à germes banals </w:t>
      </w:r>
    </w:p>
    <w:p w14:paraId="225D67F7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 favorisant : </w:t>
      </w:r>
    </w:p>
    <w:p w14:paraId="746A22A7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pH sup à 5 </w:t>
      </w:r>
    </w:p>
    <w:p w14:paraId="26C05C27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3C9C04D5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Glaireuse ou purulente </w:t>
      </w:r>
    </w:p>
    <w:p w14:paraId="48722FDA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5FA29B2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Cervicite aigue, vaginite érythémateuse </w:t>
      </w:r>
    </w:p>
    <w:p w14:paraId="7C281D8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 : </w:t>
      </w:r>
    </w:p>
    <w:p w14:paraId="2A00F05A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Dyspareunie, douleur pelvienne </w:t>
      </w:r>
    </w:p>
    <w:p w14:paraId="0111645F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Examen direct : </w:t>
      </w:r>
    </w:p>
    <w:p w14:paraId="3CB4B54D" w14:textId="03164E2A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Streptocoque, staphylocoque, E. coli *** PNN </w:t>
      </w:r>
    </w:p>
    <w:p w14:paraId="7B9C1350" w14:textId="22E350D7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Endométrites et salpingites aigues </w:t>
      </w:r>
    </w:p>
    <w:p w14:paraId="2D9DDF65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Facteurs favorisants : </w:t>
      </w:r>
    </w:p>
    <w:p w14:paraId="1C8FFEEF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Post-partum, </w:t>
      </w:r>
      <w:proofErr w:type="spellStart"/>
      <w:r w:rsidRPr="00F5492E">
        <w:rPr>
          <w:rFonts w:eastAsia="Calibri" w:cs="Times New Roman"/>
        </w:rPr>
        <w:t>abortum</w:t>
      </w:r>
      <w:proofErr w:type="spellEnd"/>
    </w:p>
    <w:p w14:paraId="5B33D71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Manœuvres endo-utérines </w:t>
      </w:r>
    </w:p>
    <w:p w14:paraId="6ED04787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Leucorrhées : </w:t>
      </w:r>
    </w:p>
    <w:p w14:paraId="4754F7A2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Sécrétions louches ou purulentes endo-utérines </w:t>
      </w:r>
    </w:p>
    <w:p w14:paraId="21ACE9C7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Clinique : </w:t>
      </w:r>
    </w:p>
    <w:p w14:paraId="01914EAA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Fièvre à 38 – 39%, utérus douloureux à la mobilisation </w:t>
      </w:r>
    </w:p>
    <w:p w14:paraId="3E837B4B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SF associés : </w:t>
      </w:r>
    </w:p>
    <w:p w14:paraId="551DB42D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Doleurs hypogastriques + défense </w:t>
      </w:r>
    </w:p>
    <w:p w14:paraId="6F961609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Paraclinique : </w:t>
      </w:r>
    </w:p>
    <w:p w14:paraId="627BB2EA" w14:textId="05E0016D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Culture (stérilet, prélèvement endocervical)</w:t>
      </w:r>
    </w:p>
    <w:p w14:paraId="3E8B9E70" w14:textId="3498F013" w:rsidR="00F5492E" w:rsidRPr="00F5492E" w:rsidRDefault="00F5492E" w:rsidP="002C182D">
      <w:pPr>
        <w:pStyle w:val="Titre3"/>
        <w:rPr>
          <w:rFonts w:eastAsia="Calibri"/>
        </w:rPr>
      </w:pPr>
      <w:r w:rsidRPr="00F5492E">
        <w:rPr>
          <w:rFonts w:eastAsia="Calibri"/>
        </w:rPr>
        <w:t>Terrains particuliers </w:t>
      </w:r>
    </w:p>
    <w:p w14:paraId="0D4A09F4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Grossesse : </w:t>
      </w:r>
    </w:p>
    <w:p w14:paraId="6C6C924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Etiologie fréquente : leucorrhées physiologiques (mycose)</w:t>
      </w:r>
    </w:p>
    <w:p w14:paraId="1C33C5CC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Diagnostics différentiels : perte d’eaux, fuite d’urines </w:t>
      </w:r>
    </w:p>
    <w:p w14:paraId="0937D218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Complications : </w:t>
      </w:r>
      <w:r w:rsidRPr="00F5492E">
        <w:rPr>
          <w:rFonts w:eastAsia="Calibri" w:cs="Times New Roman"/>
        </w:rPr>
        <w:tab/>
      </w:r>
    </w:p>
    <w:p w14:paraId="3D8391ED" w14:textId="77777777" w:rsidR="00F5492E" w:rsidRPr="00F5492E" w:rsidRDefault="00F5492E" w:rsidP="00564672">
      <w:pPr>
        <w:numPr>
          <w:ilvl w:val="2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Avortement, rupture des membranes, accouchement prématuré, chorioamniotite</w:t>
      </w:r>
    </w:p>
    <w:p w14:paraId="7B81F534" w14:textId="77777777" w:rsidR="00F5492E" w:rsidRPr="00F5492E" w:rsidRDefault="00F5492E" w:rsidP="00564672">
      <w:pPr>
        <w:numPr>
          <w:ilvl w:val="2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Chez le nouveau-né (selon l’étiologie) : </w:t>
      </w:r>
    </w:p>
    <w:p w14:paraId="3E4E5F05" w14:textId="0691F781" w:rsidR="00F5492E" w:rsidRPr="002C182D" w:rsidRDefault="00F5492E" w:rsidP="00564672">
      <w:pPr>
        <w:numPr>
          <w:ilvl w:val="3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Méningite à SBHA, conjonctivite à gonocoque, pneumonie grave par chlamydia…</w:t>
      </w:r>
    </w:p>
    <w:p w14:paraId="5FA0177C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Femme ménopausée : </w:t>
      </w:r>
    </w:p>
    <w:p w14:paraId="1BB1D3A1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Vaginite infectieuse (leucorrhées franchement purulentes, rechercher un cancer du col), germes pyogènes, trichomonas, mycoses </w:t>
      </w:r>
    </w:p>
    <w:p w14:paraId="10108A54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Vulvovaginite atrophique sénile (prurit + dyspareunie)</w:t>
      </w:r>
    </w:p>
    <w:p w14:paraId="65976CE3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Bonne imprégnation hormonale </w:t>
      </w:r>
    </w:p>
    <w:p w14:paraId="1841D3FF" w14:textId="0B7490C1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>Facteur favorisant = absence ou baisse de taux d’E2</w:t>
      </w:r>
    </w:p>
    <w:p w14:paraId="306E8A12" w14:textId="77777777" w:rsidR="00F5492E" w:rsidRPr="00F5492E" w:rsidRDefault="00F5492E" w:rsidP="00564672">
      <w:pPr>
        <w:numPr>
          <w:ilvl w:val="0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Petite fille : </w:t>
      </w:r>
    </w:p>
    <w:p w14:paraId="1BB3A35E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Germes banaux </w:t>
      </w:r>
    </w:p>
    <w:p w14:paraId="558F03EC" w14:textId="77777777" w:rsidR="00F5492E" w:rsidRPr="00F5492E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Corps étrangers </w:t>
      </w:r>
    </w:p>
    <w:p w14:paraId="220C5DB1" w14:textId="65CA5E7E" w:rsidR="00F5492E" w:rsidRPr="002C182D" w:rsidRDefault="00F5492E" w:rsidP="00564672">
      <w:pPr>
        <w:numPr>
          <w:ilvl w:val="1"/>
          <w:numId w:val="1"/>
        </w:numPr>
        <w:spacing w:after="160"/>
        <w:contextualSpacing/>
        <w:rPr>
          <w:rFonts w:eastAsia="Calibri" w:cs="Times New Roman"/>
        </w:rPr>
      </w:pPr>
      <w:r w:rsidRPr="00F5492E">
        <w:rPr>
          <w:rFonts w:eastAsia="Calibri" w:cs="Times New Roman"/>
        </w:rPr>
        <w:t xml:space="preserve">Oxyurose </w:t>
      </w:r>
    </w:p>
    <w:p w14:paraId="4F7307A5" w14:textId="77777777" w:rsidR="00F5492E" w:rsidRPr="00F5492E" w:rsidRDefault="00F5492E" w:rsidP="002C182D">
      <w:pPr>
        <w:pStyle w:val="Titre1"/>
        <w:rPr>
          <w:rFonts w:eastAsia="Calibri"/>
        </w:rPr>
      </w:pPr>
      <w:r w:rsidRPr="00F5492E">
        <w:rPr>
          <w:rFonts w:eastAsia="Calibri"/>
        </w:rPr>
        <w:t xml:space="preserve">CONCLUSION </w:t>
      </w:r>
    </w:p>
    <w:p w14:paraId="0AF93590" w14:textId="77777777" w:rsidR="00F5492E" w:rsidRPr="00F5492E" w:rsidRDefault="00F5492E" w:rsidP="002C182D">
      <w:pPr>
        <w:spacing w:after="160"/>
        <w:jc w:val="center"/>
        <w:rPr>
          <w:rFonts w:eastAsia="Calibri" w:cs="Times New Roman"/>
        </w:rPr>
      </w:pPr>
      <w:r w:rsidRPr="00F5492E">
        <w:rPr>
          <w:rFonts w:eastAsia="Calibri" w:cs="Times New Roman"/>
          <w:noProof/>
        </w:rPr>
        <w:drawing>
          <wp:inline distT="0" distB="0" distL="0" distR="0" wp14:anchorId="568E5325" wp14:editId="2D18A828">
            <wp:extent cx="5760720" cy="46945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CF8C" w14:textId="77777777" w:rsidR="00B569C9" w:rsidRPr="00212502" w:rsidRDefault="00B569C9" w:rsidP="002C182D">
      <w:pPr>
        <w:rPr>
          <w:rFonts w:cs="Times New Roman"/>
        </w:rPr>
      </w:pPr>
    </w:p>
    <w:sectPr w:rsidR="00B569C9" w:rsidRPr="00212502" w:rsidSect="00F5492E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2D91B1" w16cex:dateUtc="2025-07-25T03:16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1CE9B" w14:textId="77777777" w:rsidR="00564672" w:rsidRDefault="00564672" w:rsidP="008F121B">
      <w:pPr>
        <w:spacing w:line="240" w:lineRule="auto"/>
      </w:pPr>
      <w:r>
        <w:separator/>
      </w:r>
    </w:p>
  </w:endnote>
  <w:endnote w:type="continuationSeparator" w:id="0">
    <w:p w14:paraId="5EBFC293" w14:textId="77777777" w:rsidR="00564672" w:rsidRDefault="00564672" w:rsidP="008F1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3F327" w14:textId="5CC85905" w:rsidR="00D61B3C" w:rsidRDefault="00383D11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D0C0330" wp14:editId="20E3114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808080" w:themeColor="background1" w:themeShade="80"/>
                              </w:rPr>
                              <w:alias w:val="Date 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6F59E4" w14:textId="50D501DD" w:rsidR="00383D11" w:rsidRPr="00383D11" w:rsidRDefault="00383D11">
                                <w:pPr>
                                  <w:jc w:val="right"/>
                                  <w:rPr>
                                    <w:b/>
                                    <w:color w:val="808080" w:themeColor="background1" w:themeShade="80"/>
                                  </w:rPr>
                                </w:pPr>
                                <w:r w:rsidRPr="00383D11">
                                  <w:rPr>
                                    <w:b/>
                                    <w:color w:val="808080" w:themeColor="background1" w:themeShade="80"/>
                                  </w:rPr>
                                  <w:t>Falitiana RAFANOMEZANTSOA</w:t>
                                </w:r>
                              </w:p>
                            </w:sdtContent>
                          </w:sdt>
                          <w:p w14:paraId="44D864FB" w14:textId="77777777" w:rsidR="00383D11" w:rsidRPr="00383D11" w:rsidRDefault="00383D11">
                            <w:pPr>
                              <w:jc w:val="right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0C0330" id="Grou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b/>
                          <w:color w:val="808080" w:themeColor="background1" w:themeShade="80"/>
                        </w:rPr>
                        <w:alias w:val="Date 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426F59E4" w14:textId="50D501DD" w:rsidR="00383D11" w:rsidRPr="00383D11" w:rsidRDefault="00383D11">
                          <w:pPr>
                            <w:jc w:val="right"/>
                            <w:rPr>
                              <w:b/>
                              <w:color w:val="808080" w:themeColor="background1" w:themeShade="80"/>
                            </w:rPr>
                          </w:pPr>
                          <w:r w:rsidRPr="00383D11">
                            <w:rPr>
                              <w:b/>
                              <w:color w:val="808080" w:themeColor="background1" w:themeShade="80"/>
                            </w:rPr>
                            <w:t>Falitiana RAFANOMEZANTSOA</w:t>
                          </w:r>
                        </w:p>
                      </w:sdtContent>
                    </w:sdt>
                    <w:p w14:paraId="44D864FB" w14:textId="77777777" w:rsidR="00383D11" w:rsidRPr="00383D11" w:rsidRDefault="00383D11">
                      <w:pPr>
                        <w:jc w:val="right"/>
                        <w:rPr>
                          <w:b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1A4CD2" wp14:editId="0601FC7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03A8A0" w14:textId="77777777" w:rsidR="00383D11" w:rsidRDefault="00383D1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A4CD2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6703A8A0" w14:textId="77777777" w:rsidR="00383D11" w:rsidRDefault="00383D1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1A110" w14:textId="77777777" w:rsidR="00564672" w:rsidRDefault="00564672" w:rsidP="008F121B">
      <w:pPr>
        <w:spacing w:line="240" w:lineRule="auto"/>
      </w:pPr>
      <w:r>
        <w:separator/>
      </w:r>
    </w:p>
  </w:footnote>
  <w:footnote w:type="continuationSeparator" w:id="0">
    <w:p w14:paraId="6B61C70E" w14:textId="77777777" w:rsidR="00564672" w:rsidRDefault="00564672" w:rsidP="008F121B">
      <w:pPr>
        <w:spacing w:line="240" w:lineRule="auto"/>
      </w:pPr>
      <w:r>
        <w:continuationSeparator/>
      </w:r>
    </w:p>
  </w:footnote>
  <w:footnote w:id="1">
    <w:p w14:paraId="0CE29238" w14:textId="7E6F7BC5" w:rsidR="002C182D" w:rsidRDefault="002C182D">
      <w:pPr>
        <w:pStyle w:val="Notedebasdepage"/>
      </w:pPr>
      <w:r>
        <w:rPr>
          <w:rStyle w:val="Appelnotedebasdep"/>
        </w:rPr>
        <w:footnoteRef/>
      </w:r>
      <w:r>
        <w:t xml:space="preserve"> ATB + antimycosique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274BD" w14:textId="23CD1A7A" w:rsidR="00D61B3C" w:rsidRPr="00383D11" w:rsidRDefault="00383D11" w:rsidP="00383D11">
    <w:pPr>
      <w:pStyle w:val="En-tte"/>
      <w:jc w:val="right"/>
      <w:rPr>
        <w:rFonts w:ascii="Times New Roman" w:hAnsi="Times New Roman" w:cs="Times New Roman"/>
        <w:b/>
        <w:color w:val="808080" w:themeColor="background1" w:themeShade="80"/>
      </w:rPr>
    </w:pPr>
    <w:r w:rsidRPr="00383D11">
      <w:rPr>
        <w:rFonts w:ascii="Times New Roman" w:hAnsi="Times New Roman" w:cs="Times New Roman"/>
        <w:b/>
        <w:color w:val="808080" w:themeColor="background1" w:themeShade="80"/>
      </w:rPr>
      <w:t>Gynécologie obstétrique du 24 Juillet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1D4A9D"/>
    <w:multiLevelType w:val="hybridMultilevel"/>
    <w:tmpl w:val="638A105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66"/>
    <w:rsid w:val="00060D88"/>
    <w:rsid w:val="00083FDE"/>
    <w:rsid w:val="000A43D2"/>
    <w:rsid w:val="000B6DE0"/>
    <w:rsid w:val="000C00E9"/>
    <w:rsid w:val="00146C72"/>
    <w:rsid w:val="00157800"/>
    <w:rsid w:val="001A0140"/>
    <w:rsid w:val="001D45FB"/>
    <w:rsid w:val="00212502"/>
    <w:rsid w:val="002648C0"/>
    <w:rsid w:val="00290042"/>
    <w:rsid w:val="002A6BA4"/>
    <w:rsid w:val="002C182D"/>
    <w:rsid w:val="002D1C46"/>
    <w:rsid w:val="002F279B"/>
    <w:rsid w:val="002F52CA"/>
    <w:rsid w:val="00376868"/>
    <w:rsid w:val="00383D11"/>
    <w:rsid w:val="003A1479"/>
    <w:rsid w:val="003B3C33"/>
    <w:rsid w:val="0040318A"/>
    <w:rsid w:val="00467871"/>
    <w:rsid w:val="004B332A"/>
    <w:rsid w:val="005072B0"/>
    <w:rsid w:val="0052715F"/>
    <w:rsid w:val="005372ED"/>
    <w:rsid w:val="00561B8A"/>
    <w:rsid w:val="00564672"/>
    <w:rsid w:val="005653D1"/>
    <w:rsid w:val="0059359F"/>
    <w:rsid w:val="00621C74"/>
    <w:rsid w:val="00634890"/>
    <w:rsid w:val="006548AE"/>
    <w:rsid w:val="006552EA"/>
    <w:rsid w:val="006E0368"/>
    <w:rsid w:val="00774102"/>
    <w:rsid w:val="007A3301"/>
    <w:rsid w:val="007F1A62"/>
    <w:rsid w:val="008158F9"/>
    <w:rsid w:val="0083162D"/>
    <w:rsid w:val="00871965"/>
    <w:rsid w:val="008D4F31"/>
    <w:rsid w:val="008F121B"/>
    <w:rsid w:val="009330F7"/>
    <w:rsid w:val="00980718"/>
    <w:rsid w:val="009B336B"/>
    <w:rsid w:val="009E04C5"/>
    <w:rsid w:val="00A36C66"/>
    <w:rsid w:val="00AF2B19"/>
    <w:rsid w:val="00B22C01"/>
    <w:rsid w:val="00B569C9"/>
    <w:rsid w:val="00B755F3"/>
    <w:rsid w:val="00BE1876"/>
    <w:rsid w:val="00C02D65"/>
    <w:rsid w:val="00C43E57"/>
    <w:rsid w:val="00C470BC"/>
    <w:rsid w:val="00C55176"/>
    <w:rsid w:val="00C741E9"/>
    <w:rsid w:val="00CF516D"/>
    <w:rsid w:val="00D61B3C"/>
    <w:rsid w:val="00D65BA2"/>
    <w:rsid w:val="00DE4BDC"/>
    <w:rsid w:val="00E17EA5"/>
    <w:rsid w:val="00E21BEA"/>
    <w:rsid w:val="00E5116D"/>
    <w:rsid w:val="00EB2057"/>
    <w:rsid w:val="00ED6DD5"/>
    <w:rsid w:val="00F0469F"/>
    <w:rsid w:val="00F14359"/>
    <w:rsid w:val="00F259DC"/>
    <w:rsid w:val="00F3248E"/>
    <w:rsid w:val="00F42BCF"/>
    <w:rsid w:val="00F44BA6"/>
    <w:rsid w:val="00F5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9047B2"/>
  <w15:chartTrackingRefBased/>
  <w15:docId w15:val="{8EBE20EF-3CE1-425E-A5C7-8EF67D3F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182D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C182D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2C182D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2C182D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2C182D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2C182D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2C182D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2C182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2C182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2C182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82D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C182D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2C182D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C182D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2C182D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2C182D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2C182D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2C182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2C18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2C182D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2C182D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2C182D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2C182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82D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C182D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2C182D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2C182D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2C182D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C182D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82D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82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82D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2C182D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2C182D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2C182D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2C182D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2C182D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182D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2C182D"/>
  </w:style>
  <w:style w:type="table" w:styleId="Grilledutableau">
    <w:name w:val="Table Grid"/>
    <w:basedOn w:val="TableauNormal"/>
    <w:uiPriority w:val="39"/>
    <w:rsid w:val="00F549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5492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5492E"/>
    <w:pPr>
      <w:spacing w:after="160" w:line="240" w:lineRule="auto"/>
    </w:pPr>
    <w:rPr>
      <w:rFonts w:ascii="Calibri" w:hAnsi="Calibr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5492E"/>
    <w:rPr>
      <w:rFonts w:ascii="Calibri" w:hAnsi="Calibri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5492E"/>
    <w:pPr>
      <w:tabs>
        <w:tab w:val="center" w:pos="4536"/>
        <w:tab w:val="right" w:pos="9072"/>
      </w:tabs>
      <w:spacing w:line="240" w:lineRule="auto"/>
    </w:pPr>
    <w:rPr>
      <w:rFonts w:ascii="Calibri" w:hAnsi="Calibri"/>
    </w:rPr>
  </w:style>
  <w:style w:type="character" w:customStyle="1" w:styleId="En-tteCar">
    <w:name w:val="En-tête Car"/>
    <w:basedOn w:val="Policepardfaut"/>
    <w:link w:val="En-tte"/>
    <w:uiPriority w:val="99"/>
    <w:rsid w:val="00F5492E"/>
    <w:rPr>
      <w:rFonts w:ascii="Calibri" w:hAnsi="Calibri"/>
    </w:rPr>
  </w:style>
  <w:style w:type="paragraph" w:styleId="Pieddepage">
    <w:name w:val="footer"/>
    <w:basedOn w:val="Normal"/>
    <w:link w:val="PieddepageCar"/>
    <w:uiPriority w:val="99"/>
    <w:unhideWhenUsed/>
    <w:rsid w:val="00F5492E"/>
    <w:pPr>
      <w:tabs>
        <w:tab w:val="center" w:pos="4536"/>
        <w:tab w:val="right" w:pos="9072"/>
      </w:tabs>
      <w:spacing w:line="240" w:lineRule="auto"/>
    </w:pPr>
    <w:rPr>
      <w:rFonts w:ascii="Calibri" w:hAnsi="Calibri"/>
    </w:rPr>
  </w:style>
  <w:style w:type="character" w:customStyle="1" w:styleId="PieddepageCar">
    <w:name w:val="Pied de page Car"/>
    <w:basedOn w:val="Policepardfaut"/>
    <w:link w:val="Pieddepage"/>
    <w:uiPriority w:val="99"/>
    <w:rsid w:val="00F5492E"/>
    <w:rPr>
      <w:rFonts w:ascii="Calibri" w:hAnsi="Calibr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C182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182D"/>
    <w:rPr>
      <w:rFonts w:ascii="Segoe UI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C182D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C182D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C18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584B1B-4FA9-4B20-96C1-4F791F57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Rakotonirina</dc:creator>
  <cp:keywords/>
  <dc:description/>
  <cp:lastModifiedBy>RAFANOMEZANTSOA</cp:lastModifiedBy>
  <cp:revision>10</cp:revision>
  <dcterms:created xsi:type="dcterms:W3CDTF">2025-07-27T02:15:00Z</dcterms:created>
  <dcterms:modified xsi:type="dcterms:W3CDTF">2025-07-27T23:54:00Z</dcterms:modified>
</cp:coreProperties>
</file>