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1E4" w:rsidRPr="00872EA0" w:rsidRDefault="00AB2F6F" w:rsidP="00872EA0">
      <w:pPr>
        <w:pStyle w:val="Titre"/>
      </w:pPr>
      <w:r>
        <w:t>Ménopause et postménopause</w:t>
      </w:r>
    </w:p>
    <w:p w:rsidR="00872EA0" w:rsidRPr="00FE1366" w:rsidRDefault="00AB2F6F" w:rsidP="00AB2F6F">
      <w:pPr>
        <w:rPr>
          <w:color w:val="FF0000"/>
          <w:lang w:val="fr-FR"/>
        </w:rPr>
      </w:pPr>
      <w:r w:rsidRPr="00FE1366">
        <w:rPr>
          <w:color w:val="FF0000"/>
          <w:lang w:val="fr-FR"/>
        </w:rPr>
        <w:t>Objectifs</w:t>
      </w:r>
    </w:p>
    <w:p w:rsidR="00AB2F6F" w:rsidRPr="00FE1366" w:rsidRDefault="00AB2F6F" w:rsidP="00FE1366">
      <w:pPr>
        <w:pStyle w:val="Paragraphedeliste"/>
        <w:numPr>
          <w:ilvl w:val="0"/>
          <w:numId w:val="34"/>
        </w:numPr>
        <w:rPr>
          <w:lang w:val="fr-FR"/>
        </w:rPr>
      </w:pPr>
      <w:r w:rsidRPr="00FE1366">
        <w:rPr>
          <w:lang w:val="fr-FR"/>
        </w:rPr>
        <w:t>Définir la ménopause</w:t>
      </w:r>
    </w:p>
    <w:p w:rsidR="00AB2F6F" w:rsidRPr="00FE1366" w:rsidRDefault="00AB2F6F" w:rsidP="00FE1366">
      <w:pPr>
        <w:pStyle w:val="Paragraphedeliste"/>
        <w:numPr>
          <w:ilvl w:val="0"/>
          <w:numId w:val="34"/>
        </w:numPr>
        <w:rPr>
          <w:lang w:val="fr-FR"/>
        </w:rPr>
      </w:pPr>
      <w:r w:rsidRPr="00FE1366">
        <w:rPr>
          <w:lang w:val="fr-FR"/>
        </w:rPr>
        <w:t>Citer les signes cliniques d’une ménopause</w:t>
      </w:r>
    </w:p>
    <w:p w:rsidR="00AB2F6F" w:rsidRPr="00FE1366" w:rsidRDefault="00AB2F6F" w:rsidP="00FE1366">
      <w:pPr>
        <w:pStyle w:val="Paragraphedeliste"/>
        <w:numPr>
          <w:ilvl w:val="0"/>
          <w:numId w:val="34"/>
        </w:numPr>
        <w:rPr>
          <w:lang w:val="fr-FR"/>
        </w:rPr>
      </w:pPr>
      <w:r w:rsidRPr="00FE1366">
        <w:rPr>
          <w:lang w:val="fr-FR"/>
        </w:rPr>
        <w:t xml:space="preserve">Décrire les complications de la ménopause et du postménopause </w:t>
      </w:r>
    </w:p>
    <w:p w:rsidR="00AB2F6F" w:rsidRDefault="00AB2F6F" w:rsidP="00AB2F6F">
      <w:pPr>
        <w:pStyle w:val="Titre1"/>
        <w:rPr>
          <w:lang w:val="fr-FR"/>
        </w:rPr>
      </w:pPr>
      <w:r>
        <w:rPr>
          <w:lang w:val="fr-FR"/>
        </w:rPr>
        <w:t xml:space="preserve">Introduction </w:t>
      </w:r>
    </w:p>
    <w:p w:rsidR="00AB2F6F" w:rsidRDefault="00AB2F6F" w:rsidP="00AB2F6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Ménopause</w:t>
      </w:r>
    </w:p>
    <w:p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Arrêt de règles depuis plus de 1 an par épuisement du capital ovarien</w:t>
      </w:r>
    </w:p>
    <w:p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Après baisse progressive des fonctions de l’ovaire (disparition d’ovulation et des follicules)</w:t>
      </w:r>
    </w:p>
    <w:p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Etat physiologique lié à l’âge</w:t>
      </w:r>
    </w:p>
    <w:p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Aux environs de 50 ans +++</w:t>
      </w:r>
    </w:p>
    <w:p w:rsidR="00AB2F6F" w:rsidRDefault="00AB2F6F" w:rsidP="00AB2F6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Nombres limités de follicules</w:t>
      </w:r>
    </w:p>
    <w:p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7 M chez l’embryon</w:t>
      </w:r>
    </w:p>
    <w:p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2 M à la naissance</w:t>
      </w:r>
    </w:p>
    <w:p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400 000 à la puberté</w:t>
      </w:r>
    </w:p>
    <w:p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10 000 vers 40 ans</w:t>
      </w:r>
    </w:p>
    <w:p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400 ovulations dans une vie de femme</w:t>
      </w:r>
    </w:p>
    <w:p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Plus de 99% des follicules évoluent vers l’atrésie</w:t>
      </w:r>
    </w:p>
    <w:p w:rsidR="00AB2F6F" w:rsidRDefault="00AB2F6F" w:rsidP="00AB2F6F">
      <w:pPr>
        <w:pStyle w:val="Titre1"/>
        <w:rPr>
          <w:lang w:val="fr-FR"/>
        </w:rPr>
      </w:pPr>
      <w:r>
        <w:rPr>
          <w:lang w:val="fr-FR"/>
        </w:rPr>
        <w:t>Mécanismes</w:t>
      </w:r>
    </w:p>
    <w:p w:rsidR="00AB2F6F" w:rsidRDefault="00AB2F6F" w:rsidP="00AB2F6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Ovaires</w:t>
      </w:r>
    </w:p>
    <w:p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Perte progressive de la sensibilité aux gonadotrophines hypophysaires (FSH, LH)</w:t>
      </w:r>
    </w:p>
    <w:p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Raréfaction des ovulations</w:t>
      </w:r>
    </w:p>
    <w:p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Involution des follicules</w:t>
      </w:r>
    </w:p>
    <w:p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Absence de transformation en corps jaunes</w:t>
      </w:r>
    </w:p>
    <w:p w:rsidR="00AB2F6F" w:rsidRDefault="00AB2F6F" w:rsidP="00AB2F6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Hypophyse : par feed back négatif</w:t>
      </w:r>
    </w:p>
    <w:p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Hypersécrétion : FSH +++ et LH ++</w:t>
      </w:r>
    </w:p>
    <w:p w:rsidR="00AB2F6F" w:rsidRDefault="00AB2F6F" w:rsidP="00AB2F6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Vulve, vagin, utérus : atrophie progressive </w:t>
      </w:r>
    </w:p>
    <w:p w:rsidR="00AB2F6F" w:rsidRDefault="00AB2F6F" w:rsidP="00AB2F6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Evolution = 3 périodes</w:t>
      </w:r>
    </w:p>
    <w:p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Pré ou péri-ménopause : sécrétion accrue d’œstrogène E2 non équilibrée par l’action de progestérone </w:t>
      </w:r>
    </w:p>
    <w:p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Ménopause : arrêt des règles, élévation constante des FSH ET LH</w:t>
      </w:r>
    </w:p>
    <w:p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Postménopause ou ménopause confirmée</w:t>
      </w:r>
    </w:p>
    <w:p w:rsidR="00AB2F6F" w:rsidRDefault="00AB2F6F" w:rsidP="00AB2F6F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Effondrement de l’E2 d’origine ovarienne</w:t>
      </w:r>
    </w:p>
    <w:p w:rsidR="00AB2F6F" w:rsidRDefault="00AB2F6F" w:rsidP="00AB2F6F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Persistance œstrone (conversion d’androsténédione surrénalienne au niveau tissu adipeux par aromatase)</w:t>
      </w:r>
    </w:p>
    <w:p w:rsidR="00AB2F6F" w:rsidRDefault="00AB2F6F" w:rsidP="00AB2F6F">
      <w:pPr>
        <w:pStyle w:val="Titre1"/>
        <w:rPr>
          <w:lang w:val="fr-FR"/>
        </w:rPr>
      </w:pPr>
      <w:r>
        <w:rPr>
          <w:lang w:val="fr-FR"/>
        </w:rPr>
        <w:lastRenderedPageBreak/>
        <w:t xml:space="preserve">Diagnostic </w:t>
      </w:r>
    </w:p>
    <w:p w:rsidR="00AB2F6F" w:rsidRDefault="00AB2F6F" w:rsidP="00AB2F6F">
      <w:pPr>
        <w:pStyle w:val="Titre2"/>
        <w:rPr>
          <w:lang w:val="fr-FR"/>
        </w:rPr>
      </w:pPr>
      <w:r>
        <w:rPr>
          <w:lang w:val="fr-FR"/>
        </w:rPr>
        <w:t>Diagnostic positif</w:t>
      </w:r>
    </w:p>
    <w:p w:rsidR="00AB2F6F" w:rsidRDefault="00AB2F6F" w:rsidP="00AB2F6F">
      <w:pPr>
        <w:pStyle w:val="Titre3"/>
        <w:rPr>
          <w:lang w:val="fr-FR"/>
        </w:rPr>
      </w:pPr>
      <w:r>
        <w:rPr>
          <w:lang w:val="fr-FR"/>
        </w:rPr>
        <w:t>Type de description : ménopause aux alentours de 50 ans</w:t>
      </w:r>
    </w:p>
    <w:p w:rsidR="00AB2F6F" w:rsidRDefault="00AB2F6F" w:rsidP="00AB2F6F">
      <w:pPr>
        <w:pStyle w:val="Titre4"/>
        <w:rPr>
          <w:lang w:val="fr-FR"/>
        </w:rPr>
      </w:pPr>
      <w:r>
        <w:rPr>
          <w:lang w:val="fr-FR"/>
        </w:rPr>
        <w:t>Clinique</w:t>
      </w:r>
    </w:p>
    <w:p w:rsidR="00AB2F6F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Arrêt des règles (aménorrhée secondaire) : brusque ou progressif</w:t>
      </w:r>
    </w:p>
    <w:p w:rsidR="007B05A4" w:rsidRDefault="007B05A4" w:rsidP="007B05A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Précédé de spanioménorrhée</w:t>
      </w:r>
    </w:p>
    <w:p w:rsidR="007B05A4" w:rsidRDefault="007B05A4" w:rsidP="007B05A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Ou d’hypoménorrhée </w:t>
      </w:r>
    </w:p>
    <w:p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Syndrome climatérique</w:t>
      </w:r>
    </w:p>
    <w:p w:rsidR="007B05A4" w:rsidRDefault="007B05A4" w:rsidP="007B05A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Bouffée de chaleur (75% des cas)</w:t>
      </w:r>
    </w:p>
    <w:p w:rsidR="007B05A4" w:rsidRDefault="007B05A4" w:rsidP="007B05A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Bouffée vasomotrice par carence oestrogénique </w:t>
      </w:r>
    </w:p>
    <w:p w:rsidR="007B05A4" w:rsidRDefault="007B05A4" w:rsidP="007B05A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+/- céphalée, vertige</w:t>
      </w:r>
    </w:p>
    <w:p w:rsidR="007B05A4" w:rsidRDefault="007B05A4" w:rsidP="007B05A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Rougeur diffuse du visage (+++)</w:t>
      </w:r>
    </w:p>
    <w:p w:rsidR="007B05A4" w:rsidRDefault="007B05A4" w:rsidP="007B05A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Sueurs, surtout nocturne </w:t>
      </w:r>
    </w:p>
    <w:p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Etat dépressif (40%) : fatigue anormale, insomnie</w:t>
      </w:r>
    </w:p>
    <w:p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Dyspareunie (20%) : sécheresse vaginale, baisse libido, vulve d’atrophie</w:t>
      </w:r>
    </w:p>
    <w:p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Palissement de la muqueuse vaginale</w:t>
      </w:r>
    </w:p>
    <w:p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Involution utérine</w:t>
      </w:r>
    </w:p>
    <w:p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Atrophie des seins </w:t>
      </w:r>
    </w:p>
    <w:p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Raréfaction des pilosités</w:t>
      </w:r>
    </w:p>
    <w:p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Plissure de la peau</w:t>
      </w:r>
    </w:p>
    <w:p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Changement de comportement : irritabilité, anxiété, tristesse, …</w:t>
      </w:r>
    </w:p>
    <w:p w:rsidR="007B05A4" w:rsidRDefault="007B05A4" w:rsidP="007B05A4">
      <w:pPr>
        <w:pStyle w:val="Titre4"/>
        <w:rPr>
          <w:lang w:val="fr-FR"/>
        </w:rPr>
      </w:pPr>
      <w:r>
        <w:rPr>
          <w:lang w:val="fr-FR"/>
        </w:rPr>
        <w:t>Paraclinique (pour les inf. 40 ans)</w:t>
      </w:r>
    </w:p>
    <w:p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FSH et LH </w:t>
      </w:r>
      <w:r>
        <w:rPr>
          <w:rFonts w:ascii="Arial" w:hAnsi="Arial" w:cs="Arial"/>
          <w:lang w:val="fr-FR"/>
        </w:rPr>
        <w:t>↑</w:t>
      </w:r>
    </w:p>
    <w:p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Effondrement de E2 inf. 40 ng/L</w:t>
      </w:r>
    </w:p>
    <w:p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Bilans pré-thérapeutiques hormonaux = frottis cervico-utérin ; mammographie, FSH , E2</w:t>
      </w:r>
    </w:p>
    <w:p w:rsidR="007B05A4" w:rsidRDefault="007B05A4" w:rsidP="007B05A4">
      <w:pPr>
        <w:pStyle w:val="Titre3"/>
        <w:rPr>
          <w:lang w:val="fr-FR"/>
        </w:rPr>
      </w:pPr>
      <w:r>
        <w:rPr>
          <w:lang w:val="fr-FR"/>
        </w:rPr>
        <w:t xml:space="preserve">Formes cliniques </w:t>
      </w:r>
    </w:p>
    <w:p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Ménopause précoce</w:t>
      </w:r>
    </w:p>
    <w:p w:rsidR="007B05A4" w:rsidRDefault="007B05A4" w:rsidP="007B05A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Avant 40 ans</w:t>
      </w:r>
    </w:p>
    <w:p w:rsidR="007B05A4" w:rsidRDefault="007B05A4" w:rsidP="007B05A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1 – 2% des femmes</w:t>
      </w:r>
    </w:p>
    <w:p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Ménopause tardive</w:t>
      </w:r>
    </w:p>
    <w:p w:rsidR="007B05A4" w:rsidRDefault="007B05A4" w:rsidP="007B05A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Survient après 55 – 60 ans</w:t>
      </w:r>
    </w:p>
    <w:p w:rsidR="007B05A4" w:rsidRDefault="007B05A4" w:rsidP="007B05A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Souvent causée par une obésité </w:t>
      </w:r>
    </w:p>
    <w:p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Ménopause non physiologique</w:t>
      </w:r>
    </w:p>
    <w:p w:rsidR="007B05A4" w:rsidRDefault="007B05A4" w:rsidP="007B05A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Après chimiothérapie</w:t>
      </w:r>
    </w:p>
    <w:p w:rsidR="007B05A4" w:rsidRDefault="007B05A4" w:rsidP="007B05A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Ménopause artificielle par ovariectomie</w:t>
      </w:r>
    </w:p>
    <w:p w:rsidR="007B05A4" w:rsidRDefault="007B05A4" w:rsidP="007B05A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Maladie auto-immune par production d’auto-anticorps altérant les ovaires </w:t>
      </w:r>
    </w:p>
    <w:p w:rsidR="007B05A4" w:rsidRDefault="007B05A4" w:rsidP="007B05A4">
      <w:pPr>
        <w:pStyle w:val="Titre2"/>
        <w:rPr>
          <w:lang w:val="fr-FR"/>
        </w:rPr>
      </w:pPr>
      <w:r>
        <w:rPr>
          <w:lang w:val="fr-FR"/>
        </w:rPr>
        <w:t>Diagnostic différentiel</w:t>
      </w:r>
    </w:p>
    <w:p w:rsidR="007B05A4" w:rsidRDefault="007B05A4" w:rsidP="007B05A4">
      <w:pPr>
        <w:rPr>
          <w:lang w:val="fr-FR"/>
        </w:rPr>
      </w:pPr>
      <w:r>
        <w:rPr>
          <w:lang w:val="fr-FR"/>
        </w:rPr>
        <w:t>Autre cause d’aménorrhée secondaire</w:t>
      </w:r>
    </w:p>
    <w:p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Grossesse</w:t>
      </w:r>
    </w:p>
    <w:p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Hyperprolactinémie idiopathique</w:t>
      </w:r>
    </w:p>
    <w:p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Adénome hypophysaire </w:t>
      </w:r>
    </w:p>
    <w:p w:rsidR="007B05A4" w:rsidRDefault="00167856" w:rsidP="00167856">
      <w:pPr>
        <w:pStyle w:val="Titre2"/>
        <w:rPr>
          <w:lang w:val="fr-FR"/>
        </w:rPr>
      </w:pPr>
      <w:r>
        <w:rPr>
          <w:lang w:val="fr-FR"/>
        </w:rPr>
        <w:t xml:space="preserve">Diagnostic étiologique </w:t>
      </w:r>
    </w:p>
    <w:p w:rsidR="00167856" w:rsidRDefault="00167856" w:rsidP="0016785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Epuisement du capital ovarien</w:t>
      </w:r>
    </w:p>
    <w:p w:rsidR="00167856" w:rsidRDefault="00167856" w:rsidP="00167856">
      <w:pPr>
        <w:pStyle w:val="Titre1"/>
        <w:rPr>
          <w:lang w:val="fr-FR"/>
        </w:rPr>
      </w:pPr>
      <w:r>
        <w:rPr>
          <w:lang w:val="fr-FR"/>
        </w:rPr>
        <w:t>Complications</w:t>
      </w:r>
    </w:p>
    <w:p w:rsidR="00167856" w:rsidRDefault="00167856" w:rsidP="00167856">
      <w:pPr>
        <w:pStyle w:val="Titre2"/>
        <w:rPr>
          <w:lang w:val="fr-FR"/>
        </w:rPr>
      </w:pPr>
      <w:r>
        <w:rPr>
          <w:lang w:val="fr-FR"/>
        </w:rPr>
        <w:t>Syndrome climatérique</w:t>
      </w:r>
    </w:p>
    <w:p w:rsidR="00167856" w:rsidRDefault="00167856" w:rsidP="0016785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Bouffée de chaleur persistante sup. 2 ans</w:t>
      </w:r>
    </w:p>
    <w:p w:rsidR="00167856" w:rsidRDefault="00167856" w:rsidP="0016785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Crises de sueurs</w:t>
      </w:r>
    </w:p>
    <w:p w:rsidR="00167856" w:rsidRDefault="00167856" w:rsidP="0016785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Sécheresse vaginale</w:t>
      </w:r>
    </w:p>
    <w:p w:rsidR="00167856" w:rsidRDefault="00167856" w:rsidP="0016785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Aggravation de troubles urinaires : incontinence, infection</w:t>
      </w:r>
    </w:p>
    <w:p w:rsidR="00167856" w:rsidRDefault="00167856" w:rsidP="0016785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Douleur articulaire importante </w:t>
      </w:r>
    </w:p>
    <w:p w:rsidR="00167856" w:rsidRDefault="00167856" w:rsidP="00167856">
      <w:pPr>
        <w:pStyle w:val="Titre2"/>
        <w:rPr>
          <w:lang w:val="fr-FR"/>
        </w:rPr>
      </w:pPr>
      <w:r>
        <w:rPr>
          <w:lang w:val="fr-FR"/>
        </w:rPr>
        <w:t>Ostéoporose post-ménopausique</w:t>
      </w:r>
    </w:p>
    <w:p w:rsidR="00167856" w:rsidRDefault="00167856" w:rsidP="0016785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Déminéralisation osseuse physiologique</w:t>
      </w:r>
    </w:p>
    <w:p w:rsidR="00167856" w:rsidRDefault="00167856" w:rsidP="0016785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Perte solidité</w:t>
      </w:r>
    </w:p>
    <w:p w:rsidR="00167856" w:rsidRDefault="00167856" w:rsidP="0016785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Risque fracture</w:t>
      </w:r>
    </w:p>
    <w:p w:rsidR="00167856" w:rsidRDefault="00167856" w:rsidP="0016785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Ostéoporose = DMO inf. -2,5</w:t>
      </w:r>
    </w:p>
    <w:p w:rsidR="00167856" w:rsidRPr="00167856" w:rsidRDefault="00167856" w:rsidP="0016785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Diminution de la taille  sup. 2 cm/an (normal : 3 mm/an)</w:t>
      </w:r>
    </w:p>
    <w:p w:rsidR="00AB2F6F" w:rsidRDefault="00B3466D" w:rsidP="00B3466D">
      <w:pPr>
        <w:pStyle w:val="Titre2"/>
        <w:rPr>
          <w:lang w:val="fr-FR"/>
        </w:rPr>
      </w:pPr>
      <w:r>
        <w:rPr>
          <w:lang w:val="fr-FR"/>
        </w:rPr>
        <w:t>Athérosclérose coronarienne</w:t>
      </w:r>
    </w:p>
    <w:p w:rsidR="00B3466D" w:rsidRDefault="00B3466D" w:rsidP="00B3466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Modification métabolisme lipidique : LDL</w:t>
      </w:r>
    </w:p>
    <w:p w:rsidR="00B3466D" w:rsidRDefault="00B3466D" w:rsidP="00B3466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Modification des facteurs de coagulations : VII, fibrinogène</w:t>
      </w:r>
    </w:p>
    <w:p w:rsidR="00B3466D" w:rsidRDefault="00B3466D" w:rsidP="00B3466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Augmentation du risque d’accident vasculaire : IDM +++</w:t>
      </w:r>
    </w:p>
    <w:p w:rsidR="00B3466D" w:rsidRDefault="00B3466D" w:rsidP="00B3466D">
      <w:pPr>
        <w:pStyle w:val="Titre2"/>
        <w:rPr>
          <w:lang w:val="fr-FR"/>
        </w:rPr>
      </w:pPr>
      <w:r>
        <w:rPr>
          <w:lang w:val="fr-FR"/>
        </w:rPr>
        <w:t>Baisse de la libido</w:t>
      </w:r>
    </w:p>
    <w:p w:rsidR="00B3466D" w:rsidRDefault="00B3466D" w:rsidP="00B3466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Liée à la baisse d’E2 et de progestérone</w:t>
      </w:r>
    </w:p>
    <w:p w:rsidR="00B3466D" w:rsidRDefault="00B3466D" w:rsidP="00B346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Sécheresse vaginale : dyspareunie superficielle</w:t>
      </w:r>
    </w:p>
    <w:p w:rsidR="00B3466D" w:rsidRDefault="00B3466D" w:rsidP="00B346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Atrophie vaginale : dyspareunie profonde</w:t>
      </w:r>
    </w:p>
    <w:p w:rsidR="00B3466D" w:rsidRDefault="00B3466D" w:rsidP="00B346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Absence des pics hormonaux de l’ovulation : absence de désir</w:t>
      </w:r>
    </w:p>
    <w:p w:rsidR="00B3466D" w:rsidRDefault="00B3466D" w:rsidP="00B346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Modification psychologique</w:t>
      </w:r>
    </w:p>
    <w:p w:rsidR="00B3466D" w:rsidRDefault="00B3466D" w:rsidP="00B3466D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Stress</w:t>
      </w:r>
    </w:p>
    <w:p w:rsidR="00B3466D" w:rsidRDefault="00B3466D" w:rsidP="00B3466D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Perte de confiance en soi lié aux modifications physiques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dépression </w:t>
      </w:r>
    </w:p>
    <w:p w:rsidR="00B3466D" w:rsidRDefault="009C2104" w:rsidP="009C2104">
      <w:pPr>
        <w:pStyle w:val="Titre2"/>
        <w:rPr>
          <w:lang w:val="fr-FR"/>
        </w:rPr>
      </w:pPr>
      <w:r>
        <w:rPr>
          <w:lang w:val="fr-FR"/>
        </w:rPr>
        <w:t>Risque gynécologique après la ménopause</w:t>
      </w:r>
    </w:p>
    <w:p w:rsidR="009C2104" w:rsidRDefault="009C2104" w:rsidP="009C210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Prolapsus génital</w:t>
      </w:r>
    </w:p>
    <w:p w:rsidR="009C2104" w:rsidRDefault="009C2104" w:rsidP="009C210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Cancer : sein, corps de l’utérus, ovaires</w:t>
      </w:r>
    </w:p>
    <w:p w:rsidR="009C2104" w:rsidRDefault="009C2104" w:rsidP="009C2104">
      <w:pPr>
        <w:pStyle w:val="Titre1"/>
        <w:rPr>
          <w:lang w:val="fr-FR"/>
        </w:rPr>
      </w:pPr>
      <w:r>
        <w:rPr>
          <w:lang w:val="fr-FR"/>
        </w:rPr>
        <w:t>Prise en charge</w:t>
      </w:r>
    </w:p>
    <w:p w:rsidR="009C2104" w:rsidRDefault="009C2104" w:rsidP="009C210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Activité physique régulière : 30 – 45 minutes de marche par jour</w:t>
      </w:r>
    </w:p>
    <w:p w:rsidR="009C2104" w:rsidRDefault="009C2104" w:rsidP="009C210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Bonne hygiène alimentaire</w:t>
      </w:r>
    </w:p>
    <w:p w:rsidR="009C2104" w:rsidRDefault="009C2104" w:rsidP="009C210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Limiter café, sucre, graisse</w:t>
      </w:r>
    </w:p>
    <w:p w:rsidR="009C2104" w:rsidRDefault="009C2104" w:rsidP="009C210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3 produits laitiers par jour ou supplémenter en Vit D 400 UI/j ou 100 00° UI/trimestre</w:t>
      </w:r>
    </w:p>
    <w:p w:rsidR="009C2104" w:rsidRDefault="009C2104" w:rsidP="009C210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Arrêt tabac et alcool</w:t>
      </w:r>
    </w:p>
    <w:p w:rsidR="009C2104" w:rsidRDefault="009C2104" w:rsidP="009C210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Traitement symptomatique : hydratant et lubrifiant vaginal</w:t>
      </w:r>
    </w:p>
    <w:p w:rsidR="009C2104" w:rsidRDefault="009C2104" w:rsidP="009C210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Traitement hormonal</w:t>
      </w:r>
    </w:p>
    <w:p w:rsidR="009C2104" w:rsidRDefault="009C2104" w:rsidP="009C210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Œstrogène J1 à J10</w:t>
      </w:r>
    </w:p>
    <w:p w:rsidR="009C2104" w:rsidRDefault="009C2104" w:rsidP="009C210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Progestérone percutanée, vaginale ou orale J15 – J25</w:t>
      </w:r>
    </w:p>
    <w:p w:rsidR="009C2104" w:rsidRDefault="009C2104" w:rsidP="009C210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Si hystérectomisé : œstrogène unique </w:t>
      </w:r>
    </w:p>
    <w:p w:rsidR="009C2104" w:rsidRDefault="009C2104" w:rsidP="009C2104">
      <w:pPr>
        <w:pStyle w:val="Titre1"/>
        <w:rPr>
          <w:lang w:val="fr-FR"/>
        </w:rPr>
      </w:pPr>
      <w:r>
        <w:rPr>
          <w:lang w:val="fr-FR"/>
        </w:rPr>
        <w:t>Conclusion</w:t>
      </w:r>
    </w:p>
    <w:p w:rsidR="009C2104" w:rsidRDefault="009C2104" w:rsidP="009C210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Arrêt définitif des règles après épuisement du capital ovarien</w:t>
      </w:r>
    </w:p>
    <w:p w:rsidR="009C2104" w:rsidRPr="009C2104" w:rsidRDefault="009C2104" w:rsidP="009C210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Physiologique mais peut comporter des complications</w:t>
      </w:r>
      <w:bookmarkStart w:id="0" w:name="_GoBack"/>
      <w:bookmarkEnd w:id="0"/>
    </w:p>
    <w:sectPr w:rsidR="009C2104" w:rsidRPr="009C2104" w:rsidSect="00ED58FF">
      <w:headerReference w:type="default" r:id="rId9"/>
      <w:footerReference w:type="default" r:id="rId10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6A0E" w:rsidRDefault="00E06A0E" w:rsidP="00ED58FF">
      <w:pPr>
        <w:spacing w:line="240" w:lineRule="auto"/>
      </w:pPr>
      <w:r>
        <w:separator/>
      </w:r>
    </w:p>
  </w:endnote>
  <w:endnote w:type="continuationSeparator" w:id="0">
    <w:p w:rsidR="00E06A0E" w:rsidRDefault="00E06A0E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6A0E" w:rsidRDefault="00E06A0E" w:rsidP="00ED58FF">
      <w:pPr>
        <w:spacing w:line="240" w:lineRule="auto"/>
      </w:pPr>
      <w:r>
        <w:separator/>
      </w:r>
    </w:p>
  </w:footnote>
  <w:footnote w:type="continuationSeparator" w:id="0">
    <w:p w:rsidR="00E06A0E" w:rsidRDefault="00E06A0E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696BBE" w:rsidRDefault="00AB2F6F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Gynécologie obstétrique du 30 Juillet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F102D"/>
    <w:multiLevelType w:val="hybridMultilevel"/>
    <w:tmpl w:val="C27222B6"/>
    <w:lvl w:ilvl="0" w:tplc="90905B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ABE1519"/>
    <w:multiLevelType w:val="hybridMultilevel"/>
    <w:tmpl w:val="0570E62A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3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0"/>
  </w:num>
  <w:num w:numId="3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313C9"/>
    <w:rsid w:val="0013512C"/>
    <w:rsid w:val="00167856"/>
    <w:rsid w:val="001A0D04"/>
    <w:rsid w:val="001A2B94"/>
    <w:rsid w:val="00256ADE"/>
    <w:rsid w:val="002575F4"/>
    <w:rsid w:val="00265A80"/>
    <w:rsid w:val="002A6A07"/>
    <w:rsid w:val="002C6447"/>
    <w:rsid w:val="002E5E72"/>
    <w:rsid w:val="002F11C5"/>
    <w:rsid w:val="00313CF7"/>
    <w:rsid w:val="00335ADC"/>
    <w:rsid w:val="0037606B"/>
    <w:rsid w:val="003C5F05"/>
    <w:rsid w:val="003D25C6"/>
    <w:rsid w:val="004538AD"/>
    <w:rsid w:val="004E639C"/>
    <w:rsid w:val="00502925"/>
    <w:rsid w:val="00504447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5213D"/>
    <w:rsid w:val="00795614"/>
    <w:rsid w:val="007B05A4"/>
    <w:rsid w:val="007C33B7"/>
    <w:rsid w:val="00872EA0"/>
    <w:rsid w:val="008809FC"/>
    <w:rsid w:val="008C5E2B"/>
    <w:rsid w:val="008D5B42"/>
    <w:rsid w:val="008F1FDE"/>
    <w:rsid w:val="00926B96"/>
    <w:rsid w:val="009C2104"/>
    <w:rsid w:val="00A20C5D"/>
    <w:rsid w:val="00AB2F6F"/>
    <w:rsid w:val="00AB4EC0"/>
    <w:rsid w:val="00AC0D72"/>
    <w:rsid w:val="00AD761F"/>
    <w:rsid w:val="00B3466D"/>
    <w:rsid w:val="00BB4BA5"/>
    <w:rsid w:val="00C36BEA"/>
    <w:rsid w:val="00CA01E4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06A0E"/>
    <w:rsid w:val="00ED0596"/>
    <w:rsid w:val="00ED58FF"/>
    <w:rsid w:val="00F048D4"/>
    <w:rsid w:val="00F17AB1"/>
    <w:rsid w:val="00F73EDE"/>
    <w:rsid w:val="00FE1366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199A9B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79465C1-06F4-42FE-B6FD-A627A664E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624</Words>
  <Characters>3563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13</vt:i4>
      </vt:variant>
    </vt:vector>
  </HeadingPairs>
  <TitlesOfParts>
    <vt:vector size="14" baseType="lpstr">
      <vt:lpstr/>
      <vt:lpstr>Introduction </vt:lpstr>
      <vt:lpstr>Mécanismes</vt:lpstr>
      <vt:lpstr>Diagnostic </vt:lpstr>
      <vt:lpstr>    Diagnostic positif</vt:lpstr>
      <vt:lpstr>        Type de description : ménopause aux alentours de 50 ans</vt:lpstr>
      <vt:lpstr>        Formes cliniques </vt:lpstr>
      <vt:lpstr>    Diagnostic différentiel</vt:lpstr>
      <vt:lpstr>    Diagnostic étiologique </vt:lpstr>
      <vt:lpstr>Complications</vt:lpstr>
      <vt:lpstr>    Syndrome climatérique</vt:lpstr>
      <vt:lpstr>    Ostéoporose post-ménopausique</vt:lpstr>
      <vt:lpstr>    Athérosclérose coronarienne</vt:lpstr>
      <vt:lpstr>    Baisse de la libido</vt:lpstr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16</cp:revision>
  <dcterms:created xsi:type="dcterms:W3CDTF">2025-06-07T01:39:00Z</dcterms:created>
  <dcterms:modified xsi:type="dcterms:W3CDTF">2025-07-30T01:13:00Z</dcterms:modified>
</cp:coreProperties>
</file>