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2EA0" w:rsidRDefault="00346E63" w:rsidP="00346E63">
      <w:pPr>
        <w:pStyle w:val="Titre"/>
      </w:pPr>
      <w:r>
        <w:t>Les petits maux de la grossesse</w:t>
      </w:r>
    </w:p>
    <w:p w:rsidR="00346E63" w:rsidRDefault="00346E63" w:rsidP="00346E63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:rsidR="00346E63" w:rsidRDefault="00346E63" w:rsidP="00346E6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Motif fréquent de consultation en médecine générale et en obstétrique</w:t>
      </w:r>
    </w:p>
    <w:p w:rsidR="00346E63" w:rsidRDefault="00346E63" w:rsidP="00346E6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Résultent des modifications physiologiques liées à la grossesse</w:t>
      </w:r>
    </w:p>
    <w:p w:rsidR="00346E63" w:rsidRDefault="00346E63" w:rsidP="00346E6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Manifestation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 différent moment de la grossesse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A de degrés différents </w:t>
      </w:r>
    </w:p>
    <w:p w:rsidR="00346E63" w:rsidRDefault="00346E63" w:rsidP="00346E63">
      <w:pPr>
        <w:pStyle w:val="Titre1"/>
        <w:rPr>
          <w:lang w:val="fr-FR"/>
        </w:rPr>
      </w:pPr>
      <w:r>
        <w:rPr>
          <w:lang w:val="fr-FR"/>
        </w:rPr>
        <w:t xml:space="preserve">Les troubles gastrointestinaux </w:t>
      </w:r>
    </w:p>
    <w:p w:rsidR="00346E63" w:rsidRDefault="00346E63" w:rsidP="00346E63">
      <w:pPr>
        <w:pStyle w:val="Titre2"/>
        <w:rPr>
          <w:lang w:val="fr-FR"/>
        </w:rPr>
      </w:pPr>
      <w:r>
        <w:rPr>
          <w:lang w:val="fr-FR"/>
        </w:rPr>
        <w:t>Nausées et vomissements gravidiques</w:t>
      </w:r>
      <w:r w:rsidR="00714724">
        <w:rPr>
          <w:lang w:val="fr-FR"/>
        </w:rPr>
        <w:t xml:space="preserve"> (nvg)</w:t>
      </w:r>
    </w:p>
    <w:p w:rsidR="00346E63" w:rsidRDefault="00894022" w:rsidP="00346E6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« </w:t>
      </w:r>
      <w:r w:rsidR="00346E63">
        <w:rPr>
          <w:lang w:val="fr-FR"/>
        </w:rPr>
        <w:t>Petits maux</w:t>
      </w:r>
      <w:r>
        <w:rPr>
          <w:lang w:val="fr-FR"/>
        </w:rPr>
        <w:t> »</w:t>
      </w:r>
      <w:r w:rsidR="00346E63">
        <w:rPr>
          <w:lang w:val="fr-FR"/>
        </w:rPr>
        <w:t xml:space="preserve"> le plus fréquent 70 – 80%</w:t>
      </w:r>
    </w:p>
    <w:p w:rsidR="00346E63" w:rsidRDefault="00346E63" w:rsidP="00346E6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Cause inconnue</w:t>
      </w:r>
    </w:p>
    <w:p w:rsidR="00346E63" w:rsidRDefault="00346E63" w:rsidP="00346E6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Facteurs métabolique et neuromusculaire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HCG </w:t>
      </w:r>
      <w:r>
        <w:rPr>
          <w:rFonts w:ascii="Arial" w:hAnsi="Arial" w:cs="Arial"/>
          <w:lang w:val="fr-FR"/>
        </w:rPr>
        <w:t>↑↑↑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Progestérone </w:t>
      </w:r>
      <w:r>
        <w:rPr>
          <w:rFonts w:ascii="Arial" w:hAnsi="Arial" w:cs="Arial"/>
          <w:lang w:val="fr-FR"/>
        </w:rPr>
        <w:t>↑↑↑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Œstrogène </w:t>
      </w:r>
      <w:r>
        <w:rPr>
          <w:rFonts w:ascii="Arial" w:hAnsi="Arial" w:cs="Arial"/>
          <w:lang w:val="fr-FR"/>
        </w:rPr>
        <w:t>↑↑↑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ACTH </w:t>
      </w:r>
      <w:r>
        <w:rPr>
          <w:rFonts w:ascii="Arial" w:hAnsi="Arial" w:cs="Arial"/>
          <w:lang w:val="fr-FR"/>
        </w:rPr>
        <w:t>↑↑↑</w:t>
      </w:r>
      <w:r>
        <w:rPr>
          <w:rFonts w:ascii="Arial" w:hAnsi="Arial" w:cs="Arial"/>
          <w:lang w:val="fr-FR"/>
        </w:rPr>
        <w:t xml:space="preserve"> </w:t>
      </w:r>
      <w:r>
        <w:rPr>
          <w:lang w:val="fr-FR"/>
        </w:rPr>
        <w:t>+/- T4</w:t>
      </w:r>
    </w:p>
    <w:p w:rsidR="00346E63" w:rsidRDefault="00346E63" w:rsidP="00346E6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Diagnostic clinique fait à l’interrogatoire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Nausée ou vomissements matinaux +++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Soulagés par le 1</w:t>
      </w:r>
      <w:r w:rsidRPr="00346E63">
        <w:rPr>
          <w:vertAlign w:val="superscript"/>
          <w:lang w:val="fr-FR"/>
        </w:rPr>
        <w:t>er</w:t>
      </w:r>
      <w:r>
        <w:rPr>
          <w:lang w:val="fr-FR"/>
        </w:rPr>
        <w:t xml:space="preserve"> repas 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Ou immédiatement après le repas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Peuvent être déclenché par les odeurs </w:t>
      </w:r>
      <w:bookmarkStart w:id="0" w:name="_GoBack"/>
      <w:bookmarkEnd w:id="0"/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Ne dépassant pas 2 épisodes par jour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Apparaissent entre 4 et 9 SA (rechercher une autre cause si après 10 SA)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Maximum vers 7 et 12 SA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Résolution spontanée avant 16</w:t>
      </w:r>
      <w:r w:rsidRPr="00346E63">
        <w:rPr>
          <w:vertAlign w:val="superscript"/>
          <w:lang w:val="fr-FR"/>
        </w:rPr>
        <w:t>ème</w:t>
      </w:r>
      <w:r>
        <w:rPr>
          <w:lang w:val="fr-FR"/>
        </w:rPr>
        <w:t xml:space="preserve"> SA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Persistance après 20 SA pour 20 – 30%, parfois jusqu’à l’accouchement </w:t>
      </w:r>
    </w:p>
    <w:p w:rsidR="00346E63" w:rsidRDefault="00346E63" w:rsidP="00346E6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Différentiel</w:t>
      </w:r>
    </w:p>
    <w:p w:rsidR="00346E63" w:rsidRDefault="00346E63" w:rsidP="00346E6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Vomissement incoercible ou hyperemesis gravidum</w:t>
      </w:r>
    </w:p>
    <w:p w:rsidR="00346E63" w:rsidRDefault="00346E63" w:rsidP="00346E6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Sup. 2 épisodes par jour</w:t>
      </w:r>
    </w:p>
    <w:p w:rsidR="00346E63" w:rsidRDefault="00346E63" w:rsidP="00346E6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Perte de poids sup. 5% du poids antérieur à la grossesse</w:t>
      </w:r>
    </w:p>
    <w:p w:rsidR="00346E63" w:rsidRDefault="00346E63" w:rsidP="00346E6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Déshydratation</w:t>
      </w:r>
    </w:p>
    <w:p w:rsidR="00346E63" w:rsidRDefault="00346E63" w:rsidP="00346E6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Cétonurie</w:t>
      </w:r>
    </w:p>
    <w:p w:rsidR="00346E63" w:rsidRDefault="00346E63" w:rsidP="00346E6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Déséquilibre acido-basique </w:t>
      </w:r>
    </w:p>
    <w:p w:rsidR="00714724" w:rsidRDefault="00714724" w:rsidP="007147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Pathologies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Ulcère gastrique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lastRenderedPageBreak/>
        <w:t>Cholécystite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Hépatite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Pyélonéphrite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Pathologie psychiatrique, …</w:t>
      </w:r>
    </w:p>
    <w:p w:rsidR="00714724" w:rsidRDefault="00714724" w:rsidP="0071472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Prise en charge</w:t>
      </w:r>
    </w:p>
    <w:p w:rsidR="00714724" w:rsidRDefault="00714724" w:rsidP="007147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Bien informer la patiente</w:t>
      </w:r>
    </w:p>
    <w:p w:rsidR="00714724" w:rsidRDefault="00714724" w:rsidP="007147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Evaluer le retentissement sur sa vie</w:t>
      </w:r>
    </w:p>
    <w:p w:rsidR="00714724" w:rsidRDefault="00714724" w:rsidP="007147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Expliquer le risque de l’automédication</w:t>
      </w:r>
    </w:p>
    <w:p w:rsidR="00714724" w:rsidRDefault="00714724" w:rsidP="007147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Pas de régime alimentaire : la fatigue aggrave le NVG</w:t>
      </w:r>
    </w:p>
    <w:p w:rsidR="00714724" w:rsidRDefault="00714724" w:rsidP="007147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Traitement non médicamenteux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Gingembre (attention à l’effet anticoagulante)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Hypnose si cause psychogène suspectée</w:t>
      </w:r>
    </w:p>
    <w:p w:rsidR="00714724" w:rsidRDefault="00714724" w:rsidP="007147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Traitement médicamenteux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Vit B6 B12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Vit B6 10 mg + doxylamine 10 mg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Phénothiazine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Métoclopramide (risque de syndrome extrapyramidale si surdosage)</w:t>
      </w:r>
    </w:p>
    <w:p w:rsidR="00714724" w:rsidRDefault="00714724" w:rsidP="00714724">
      <w:pPr>
        <w:pStyle w:val="Titre2"/>
        <w:rPr>
          <w:lang w:val="fr-FR"/>
        </w:rPr>
      </w:pPr>
      <w:r>
        <w:rPr>
          <w:lang w:val="fr-FR"/>
        </w:rPr>
        <w:t>Pyrosis et reflux gastro-œsophagien</w:t>
      </w:r>
    </w:p>
    <w:p w:rsidR="00714724" w:rsidRDefault="00714724" w:rsidP="0071472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Brûlure gastrique</w:t>
      </w:r>
    </w:p>
    <w:p w:rsidR="00714724" w:rsidRDefault="00714724" w:rsidP="0071472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Presque chez toute les femmes enceintes</w:t>
      </w:r>
    </w:p>
    <w:p w:rsidR="00714724" w:rsidRDefault="00714724" w:rsidP="0071472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Aggrave les NVG</w:t>
      </w:r>
    </w:p>
    <w:p w:rsidR="00714724" w:rsidRDefault="00714724" w:rsidP="0071472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N’a pas d’influence défavorable sur l’issu de la grossesse </w:t>
      </w:r>
    </w:p>
    <w:p w:rsidR="00714724" w:rsidRDefault="00714724" w:rsidP="0071472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Multifactoriel</w:t>
      </w:r>
    </w:p>
    <w:p w:rsidR="00714724" w:rsidRDefault="00714724" w:rsidP="007147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Hernie hiatale temporaire due à la progestérone +++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Diminution du tonus du sphincter inférieur de l’œsophage 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Augmentation de la pression intragastrique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Rallongement du temps de transit intestinal et ru reflexe gastroduodénal </w:t>
      </w:r>
    </w:p>
    <w:p w:rsidR="00714724" w:rsidRDefault="00714724" w:rsidP="0071472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Diagnostic clinique</w:t>
      </w:r>
    </w:p>
    <w:p w:rsidR="00714724" w:rsidRDefault="00714724" w:rsidP="0071472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Pyrosis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Sensation de brûlure </w:t>
      </w:r>
      <w:r w:rsidR="00434C28">
        <w:rPr>
          <w:lang w:val="fr-FR"/>
        </w:rPr>
        <w:t>œsophagienne</w:t>
      </w:r>
      <w:r>
        <w:rPr>
          <w:lang w:val="fr-FR"/>
        </w:rPr>
        <w:t xml:space="preserve"> en décubitus ou en antéflexion +/- </w:t>
      </w:r>
      <w:r w:rsidR="00434C28">
        <w:rPr>
          <w:lang w:val="fr-FR"/>
        </w:rPr>
        <w:t>régurgitation</w:t>
      </w:r>
      <w:r>
        <w:rPr>
          <w:lang w:val="fr-FR"/>
        </w:rPr>
        <w:t xml:space="preserve"> acide 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3</w:t>
      </w:r>
      <w:r w:rsidRPr="00714724">
        <w:rPr>
          <w:vertAlign w:val="superscript"/>
          <w:lang w:val="fr-FR"/>
        </w:rPr>
        <w:t>ème</w:t>
      </w:r>
      <w:r>
        <w:rPr>
          <w:lang w:val="fr-FR"/>
        </w:rPr>
        <w:t xml:space="preserve"> trimestre +++</w:t>
      </w:r>
    </w:p>
    <w:p w:rsidR="00714724" w:rsidRDefault="00714724" w:rsidP="0071472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Si avant 20 SA ; rechercher une au</w:t>
      </w:r>
      <w:r w:rsidR="00434C28">
        <w:rPr>
          <w:lang w:val="fr-FR"/>
        </w:rPr>
        <w:t>t</w:t>
      </w:r>
      <w:r>
        <w:rPr>
          <w:lang w:val="fr-FR"/>
        </w:rPr>
        <w:t xml:space="preserve">re étiologie </w:t>
      </w:r>
    </w:p>
    <w:p w:rsidR="00434C28" w:rsidRDefault="00434C28" w:rsidP="00434C2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Différentiel</w:t>
      </w:r>
    </w:p>
    <w:p w:rsidR="00434C28" w:rsidRDefault="00434C28" w:rsidP="00434C28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Hernie hiatale préexistante ; pyrosis d’apparition précoce</w:t>
      </w:r>
    </w:p>
    <w:p w:rsidR="00434C28" w:rsidRDefault="00434C28" w:rsidP="00434C2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Prise en charge</w:t>
      </w:r>
    </w:p>
    <w:p w:rsidR="00434C28" w:rsidRDefault="00434C28" w:rsidP="00434C28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Mode de vie et alimentation</w:t>
      </w:r>
    </w:p>
    <w:p w:rsidR="00434C28" w:rsidRDefault="00434C28" w:rsidP="00434C2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Supprimer ! mets épicés, graisses, alcool, sucres rapides, boissons gazeuses</w:t>
      </w:r>
    </w:p>
    <w:p w:rsidR="00434C28" w:rsidRDefault="00434C28" w:rsidP="00434C2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Fractionner les repas</w:t>
      </w:r>
    </w:p>
    <w:p w:rsidR="00434C28" w:rsidRDefault="00434C28" w:rsidP="00434C2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Eviter le décubitus dorsal immédiat après le repas</w:t>
      </w:r>
    </w:p>
    <w:p w:rsidR="00434C28" w:rsidRDefault="00434C28" w:rsidP="00434C2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Préconiser la position demi-assise le soir au coucher ou une marche postprandiale</w:t>
      </w:r>
    </w:p>
    <w:p w:rsidR="00434C28" w:rsidRDefault="00434C28" w:rsidP="00434C2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Eviter les facteurs d’hyperpression abdominale (ex : ceinture mal adaptée)</w:t>
      </w:r>
    </w:p>
    <w:p w:rsidR="00434C28" w:rsidRDefault="00434C28" w:rsidP="00434C28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Traitement médicamenteux</w:t>
      </w:r>
    </w:p>
    <w:p w:rsidR="00434C28" w:rsidRDefault="00434C28" w:rsidP="00434C2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Antiacide ou pansement gastrique après le repas ou au moment des brûlures (ex : Maalox, Pepsane)</w:t>
      </w:r>
    </w:p>
    <w:p w:rsidR="00434C28" w:rsidRDefault="00434C28" w:rsidP="00434C2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Antisécrétoire H2 (ex : cimétidine, ranitidine)</w:t>
      </w:r>
    </w:p>
    <w:p w:rsidR="00434C28" w:rsidRDefault="00434C28" w:rsidP="00434C2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Oméprazole </w:t>
      </w:r>
    </w:p>
    <w:p w:rsidR="00434C28" w:rsidRDefault="00434C28" w:rsidP="00434C28">
      <w:pPr>
        <w:pStyle w:val="Titre2"/>
        <w:rPr>
          <w:lang w:val="fr-FR"/>
        </w:rPr>
      </w:pPr>
      <w:r>
        <w:rPr>
          <w:lang w:val="fr-FR"/>
        </w:rPr>
        <w:t>Ptyalisme</w:t>
      </w:r>
    </w:p>
    <w:p w:rsidR="00434C28" w:rsidRDefault="00434C28" w:rsidP="00434C2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Sécrétion importante de salive</w:t>
      </w:r>
    </w:p>
    <w:p w:rsidR="00434C28" w:rsidRDefault="00434C28" w:rsidP="00434C2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Peut s’élever à 1 – 2 litres par jour</w:t>
      </w:r>
    </w:p>
    <w:p w:rsidR="00434C28" w:rsidRDefault="00434C28" w:rsidP="00434C2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Apparaît au 1</w:t>
      </w:r>
      <w:r w:rsidRPr="00434C28">
        <w:rPr>
          <w:vertAlign w:val="superscript"/>
          <w:lang w:val="fr-FR"/>
        </w:rPr>
        <w:t>er</w:t>
      </w:r>
      <w:r>
        <w:rPr>
          <w:lang w:val="fr-FR"/>
        </w:rPr>
        <w:t xml:space="preserve"> trimestre </w:t>
      </w:r>
    </w:p>
    <w:p w:rsidR="00434C28" w:rsidRDefault="00434C28" w:rsidP="00434C2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Peut persister jusqu’à la fin </w:t>
      </w:r>
      <w:r w:rsidR="00855E6D">
        <w:rPr>
          <w:lang w:val="fr-FR"/>
        </w:rPr>
        <w:t>de la grossesse</w:t>
      </w:r>
    </w:p>
    <w:p w:rsidR="00434C28" w:rsidRDefault="00434C28" w:rsidP="00434C2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Pas de traitement sauf si RGO associé</w:t>
      </w:r>
    </w:p>
    <w:p w:rsidR="00434C28" w:rsidRDefault="00434C28" w:rsidP="00434C28">
      <w:pPr>
        <w:pStyle w:val="Titre2"/>
        <w:rPr>
          <w:lang w:val="fr-FR"/>
        </w:rPr>
      </w:pPr>
      <w:r>
        <w:rPr>
          <w:lang w:val="fr-FR"/>
        </w:rPr>
        <w:t xml:space="preserve">Constipation </w:t>
      </w:r>
    </w:p>
    <w:p w:rsidR="00434C28" w:rsidRDefault="00434C28" w:rsidP="00434C2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11 – 38% des femmes enceintes</w:t>
      </w:r>
    </w:p>
    <w:p w:rsidR="00434C28" w:rsidRDefault="00434C28" w:rsidP="00434C2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Augmente les douleurs lombopelviennes</w:t>
      </w:r>
    </w:p>
    <w:p w:rsidR="00434C28" w:rsidRDefault="00434C28" w:rsidP="00434C2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Etiologie</w:t>
      </w:r>
    </w:p>
    <w:p w:rsidR="00434C28" w:rsidRDefault="00434C28" w:rsidP="00434C28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Liées à la progestéronémie</w:t>
      </w:r>
    </w:p>
    <w:p w:rsidR="00434C28" w:rsidRDefault="00434C28" w:rsidP="00434C28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Réduction de l’activité physique pendant la grossesse</w:t>
      </w:r>
    </w:p>
    <w:p w:rsidR="00434C28" w:rsidRDefault="00434C28" w:rsidP="00434C28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Compression de l’appareil digestif de l’utérus gravide</w:t>
      </w:r>
    </w:p>
    <w:p w:rsidR="00434C28" w:rsidRDefault="00434C28" w:rsidP="00434C2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Prise en charge</w:t>
      </w:r>
    </w:p>
    <w:p w:rsidR="00434C28" w:rsidRDefault="00434C28" w:rsidP="00434C28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Mesures hygiéno-diététiques (1</w:t>
      </w:r>
      <w:r w:rsidRPr="00434C28">
        <w:rPr>
          <w:vertAlign w:val="superscript"/>
          <w:lang w:val="fr-FR"/>
        </w:rPr>
        <w:t>ère</w:t>
      </w:r>
      <w:r>
        <w:rPr>
          <w:lang w:val="fr-FR"/>
        </w:rPr>
        <w:t xml:space="preserve"> intention)</w:t>
      </w:r>
    </w:p>
    <w:p w:rsidR="00434C28" w:rsidRDefault="00434C28" w:rsidP="00434C2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Alimentation riche en fibre : fruits, légumes verts cuits, pain complet</w:t>
      </w:r>
    </w:p>
    <w:p w:rsidR="00434C28" w:rsidRDefault="00434C28" w:rsidP="00434C2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Hydratation journalière de 2L/j</w:t>
      </w:r>
    </w:p>
    <w:p w:rsidR="00434C28" w:rsidRDefault="00434C28" w:rsidP="00434C2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Activité physique adaptée à la grossesse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Médicamenteux (2</w:t>
      </w:r>
      <w:r w:rsidRPr="00855E6D">
        <w:rPr>
          <w:vertAlign w:val="superscript"/>
          <w:lang w:val="fr-FR"/>
        </w:rPr>
        <w:t>ème</w:t>
      </w:r>
      <w:r>
        <w:rPr>
          <w:lang w:val="fr-FR"/>
        </w:rPr>
        <w:t xml:space="preserve"> intention)</w:t>
      </w:r>
    </w:p>
    <w:p w:rsidR="00855E6D" w:rsidRDefault="00855E6D" w:rsidP="00855E6D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Mucilage 15 – 45 ml/j (ex : steculla)</w:t>
      </w:r>
    </w:p>
    <w:p w:rsidR="00855E6D" w:rsidRDefault="00855E6D" w:rsidP="00855E6D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Laxatifs osmotiques (ex : lactulose) </w:t>
      </w:r>
    </w:p>
    <w:p w:rsidR="00855E6D" w:rsidRDefault="00855E6D" w:rsidP="00855E6D">
      <w:pPr>
        <w:pStyle w:val="Titre1"/>
        <w:rPr>
          <w:lang w:val="fr-FR"/>
        </w:rPr>
      </w:pPr>
      <w:r>
        <w:rPr>
          <w:lang w:val="fr-FR"/>
        </w:rPr>
        <w:t>Syndrome de canal carpien</w:t>
      </w:r>
    </w:p>
    <w:p w:rsidR="00855E6D" w:rsidRDefault="00855E6D" w:rsidP="00855E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Réduction du diamètre du canal carpien par infiltration tissulaire</w:t>
      </w:r>
    </w:p>
    <w:p w:rsidR="00855E6D" w:rsidRDefault="00855E6D" w:rsidP="00855E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20% des femmes enceintes </w:t>
      </w:r>
    </w:p>
    <w:p w:rsidR="00855E6D" w:rsidRDefault="00855E6D" w:rsidP="00855E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3</w:t>
      </w:r>
      <w:r w:rsidRPr="00855E6D">
        <w:rPr>
          <w:vertAlign w:val="superscript"/>
          <w:lang w:val="fr-FR"/>
        </w:rPr>
        <w:t>ème</w:t>
      </w:r>
      <w:r>
        <w:rPr>
          <w:lang w:val="fr-FR"/>
        </w:rPr>
        <w:t xml:space="preserve"> trimestre</w:t>
      </w:r>
    </w:p>
    <w:p w:rsidR="00855E6D" w:rsidRDefault="00855E6D" w:rsidP="00855E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Disparaît après l’accouchement </w:t>
      </w:r>
    </w:p>
    <w:p w:rsidR="00855E6D" w:rsidRDefault="00855E6D" w:rsidP="00855E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Signes cliniques polymorphes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Douleur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Paresthésie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Fourmillement : pouce et deux 1</w:t>
      </w:r>
      <w:r w:rsidRPr="00855E6D">
        <w:rPr>
          <w:vertAlign w:val="superscript"/>
          <w:lang w:val="fr-FR"/>
        </w:rPr>
        <w:t>er</w:t>
      </w:r>
      <w:r>
        <w:rPr>
          <w:lang w:val="fr-FR"/>
        </w:rPr>
        <w:t xml:space="preserve"> doigts de la main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+/- irradiation vers l’avant-bras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Maladresse pour saisir ou pour tenir un objet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Déficit sensitif éventuel </w:t>
      </w:r>
    </w:p>
    <w:p w:rsidR="00855E6D" w:rsidRDefault="00855E6D" w:rsidP="00855E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Prise en charge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Bandage du poignet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Dormir avec la main surélevée par un coussin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Corticothérapie par infiltration si nécessaire </w:t>
      </w:r>
    </w:p>
    <w:p w:rsidR="00855E6D" w:rsidRDefault="00855E6D" w:rsidP="00855E6D">
      <w:pPr>
        <w:pStyle w:val="Titre1"/>
        <w:rPr>
          <w:lang w:val="fr-FR"/>
        </w:rPr>
      </w:pPr>
      <w:r>
        <w:rPr>
          <w:lang w:val="fr-FR"/>
        </w:rPr>
        <w:t>Douleurs lombopelviennes</w:t>
      </w:r>
    </w:p>
    <w:p w:rsidR="00855E6D" w:rsidRDefault="00855E6D" w:rsidP="00855E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Syndrome douloureux pelvien gravidique</w:t>
      </w:r>
    </w:p>
    <w:p w:rsidR="00855E6D" w:rsidRDefault="00855E6D" w:rsidP="00855E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50% des femmes enceintes </w:t>
      </w:r>
    </w:p>
    <w:p w:rsidR="00855E6D" w:rsidRDefault="00855E6D" w:rsidP="00855E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Facteur hormonal : </w:t>
      </w:r>
      <w:r w:rsidR="00894022">
        <w:rPr>
          <w:lang w:val="fr-FR"/>
        </w:rPr>
        <w:t>œstrogène</w:t>
      </w:r>
      <w:r>
        <w:rPr>
          <w:lang w:val="fr-FR"/>
        </w:rPr>
        <w:t xml:space="preserve"> et relaxine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relâchement ligamentaire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micromobilité anormale des articulations</w:t>
      </w:r>
    </w:p>
    <w:p w:rsidR="00855E6D" w:rsidRDefault="00855E6D" w:rsidP="00855E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Facteurs métaboliques</w:t>
      </w:r>
      <w:r w:rsidR="00894022">
        <w:rPr>
          <w:lang w:val="fr-FR"/>
        </w:rPr>
        <w:t xml:space="preserve"> : carence en magnésium </w:t>
      </w:r>
    </w:p>
    <w:p w:rsidR="00855E6D" w:rsidRDefault="00855E6D" w:rsidP="00855E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Facteurs mécaniques 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Augmentation du volume utérin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Prise de poids générale de la femme</w:t>
      </w:r>
    </w:p>
    <w:p w:rsidR="00855E6D" w:rsidRDefault="00855E6D" w:rsidP="00855E6D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Augmentation de la lordose lombaire</w:t>
      </w:r>
    </w:p>
    <w:p w:rsidR="00855E6D" w:rsidRDefault="00855E6D" w:rsidP="00855E6D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Lombalgie</w:t>
      </w:r>
    </w:p>
    <w:p w:rsidR="00855E6D" w:rsidRDefault="00855E6D" w:rsidP="00855E6D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Douleur au niveau de l’articulation sacro-iliaque </w:t>
      </w:r>
    </w:p>
    <w:p w:rsidR="00855E6D" w:rsidRDefault="00855E6D" w:rsidP="00855E6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Facteurs de ri</w:t>
      </w:r>
      <w:r w:rsidR="00894022">
        <w:rPr>
          <w:lang w:val="fr-FR"/>
        </w:rPr>
        <w:t>s</w:t>
      </w:r>
      <w:r>
        <w:rPr>
          <w:lang w:val="fr-FR"/>
        </w:rPr>
        <w:t>ques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Scoliose préexistante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Multiparité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Prise de poids importante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Absence d’activité physique pendant la grossesse</w:t>
      </w:r>
    </w:p>
    <w:p w:rsidR="00855E6D" w:rsidRDefault="00855E6D" w:rsidP="00855E6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Activité professionnelle intense et stressante</w:t>
      </w:r>
    </w:p>
    <w:p w:rsidR="00894022" w:rsidRDefault="00894022" w:rsidP="008940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Diagnostic clinique</w:t>
      </w:r>
    </w:p>
    <w:p w:rsidR="00894022" w:rsidRDefault="00894022" w:rsidP="008940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Douleur abdomino-pelvienne basse</w:t>
      </w:r>
    </w:p>
    <w:p w:rsidR="00894022" w:rsidRDefault="00894022" w:rsidP="008940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Sensation de pesanteur pelvienne</w:t>
      </w:r>
    </w:p>
    <w:p w:rsidR="00894022" w:rsidRDefault="00894022" w:rsidP="008940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Douleur inguinale, lombo-sacrée, fessière</w:t>
      </w:r>
    </w:p>
    <w:p w:rsidR="00894022" w:rsidRDefault="00894022" w:rsidP="008940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Apparaissant au 3</w:t>
      </w:r>
      <w:r w:rsidRPr="00894022">
        <w:rPr>
          <w:vertAlign w:val="superscript"/>
          <w:lang w:val="fr-FR"/>
        </w:rPr>
        <w:t>ème</w:t>
      </w:r>
      <w:r>
        <w:rPr>
          <w:lang w:val="fr-FR"/>
        </w:rPr>
        <w:t xml:space="preserve"> trimestre</w:t>
      </w:r>
    </w:p>
    <w:p w:rsidR="00894022" w:rsidRDefault="00894022" w:rsidP="008940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Augmentant d’intensité avec l’âge de la grossesse</w:t>
      </w:r>
    </w:p>
    <w:p w:rsidR="00894022" w:rsidRDefault="00894022" w:rsidP="008940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Pic douloureux à 36 SA</w:t>
      </w:r>
    </w:p>
    <w:p w:rsidR="00894022" w:rsidRDefault="00894022" w:rsidP="008940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Régresse spontanément à l’accouchement</w:t>
      </w:r>
    </w:p>
    <w:p w:rsidR="00894022" w:rsidRDefault="00894022" w:rsidP="008940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Disparaît dans 90% dans les 3 mois après la naissance </w:t>
      </w:r>
    </w:p>
    <w:p w:rsidR="00894022" w:rsidRDefault="00894022" w:rsidP="008940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Prise en charge</w:t>
      </w:r>
    </w:p>
    <w:p w:rsidR="00894022" w:rsidRDefault="00894022" w:rsidP="008940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Activité physique adaptée à la grossesse</w:t>
      </w:r>
    </w:p>
    <w:p w:rsidR="00894022" w:rsidRDefault="00894022" w:rsidP="008940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Supplémentation en magnésium : réduit l’intensité de la douleur</w:t>
      </w:r>
    </w:p>
    <w:p w:rsidR="00894022" w:rsidRDefault="00894022" w:rsidP="0089402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Antalgique (peu efficace)</w:t>
      </w:r>
    </w:p>
    <w:p w:rsidR="00894022" w:rsidRDefault="00894022" w:rsidP="00894022">
      <w:pPr>
        <w:pStyle w:val="Titre1"/>
        <w:rPr>
          <w:lang w:val="fr-FR"/>
        </w:rPr>
      </w:pPr>
      <w:r>
        <w:rPr>
          <w:lang w:val="fr-FR"/>
        </w:rPr>
        <w:t>Conclusion</w:t>
      </w:r>
    </w:p>
    <w:p w:rsidR="00894022" w:rsidRPr="00855E6D" w:rsidRDefault="00894022" w:rsidP="0089402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Eviter que les petits maux se transforment en pathologie </w:t>
      </w:r>
    </w:p>
    <w:sectPr w:rsidR="00894022" w:rsidRPr="00855E6D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7D74" w:rsidRDefault="00177D74" w:rsidP="00ED58FF">
      <w:pPr>
        <w:spacing w:line="240" w:lineRule="auto"/>
      </w:pPr>
      <w:r>
        <w:separator/>
      </w:r>
    </w:p>
  </w:endnote>
  <w:endnote w:type="continuationSeparator" w:id="0">
    <w:p w:rsidR="00177D74" w:rsidRDefault="00177D74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7D74" w:rsidRDefault="00177D74" w:rsidP="00ED58FF">
      <w:pPr>
        <w:spacing w:line="240" w:lineRule="auto"/>
      </w:pPr>
      <w:r>
        <w:separator/>
      </w:r>
    </w:p>
  </w:footnote>
  <w:footnote w:type="continuationSeparator" w:id="0">
    <w:p w:rsidR="00177D74" w:rsidRDefault="00177D74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346E63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obstétrique du 29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8C40794"/>
    <w:multiLevelType w:val="hybridMultilevel"/>
    <w:tmpl w:val="1758EC4A"/>
    <w:lvl w:ilvl="0" w:tplc="1AB847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77D74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35ADC"/>
    <w:rsid w:val="00346E63"/>
    <w:rsid w:val="0037606B"/>
    <w:rsid w:val="003C5F05"/>
    <w:rsid w:val="003D25C6"/>
    <w:rsid w:val="00434C28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14724"/>
    <w:rsid w:val="0075213D"/>
    <w:rsid w:val="00795614"/>
    <w:rsid w:val="007C33B7"/>
    <w:rsid w:val="00855E6D"/>
    <w:rsid w:val="00872EA0"/>
    <w:rsid w:val="008809FC"/>
    <w:rsid w:val="00894022"/>
    <w:rsid w:val="008C5E2B"/>
    <w:rsid w:val="008D5B42"/>
    <w:rsid w:val="008F1FDE"/>
    <w:rsid w:val="00926B96"/>
    <w:rsid w:val="00A20C5D"/>
    <w:rsid w:val="00AB4EC0"/>
    <w:rsid w:val="00AC0D72"/>
    <w:rsid w:val="00AD761F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3DD19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777</Words>
  <Characters>4429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8</vt:i4>
      </vt:variant>
    </vt:vector>
  </HeadingPairs>
  <TitlesOfParts>
    <vt:vector size="9" baseType="lpstr">
      <vt:lpstr/>
      <vt:lpstr>Introduction </vt:lpstr>
      <vt:lpstr>Les troubles gastrointestinaux </vt:lpstr>
      <vt:lpstr>    Nausées et vomissements gravidiques (nvg)</vt:lpstr>
      <vt:lpstr>    Pyrosis et reflux gastro-œsophagien</vt:lpstr>
      <vt:lpstr>    Ptyalisme</vt:lpstr>
      <vt:lpstr>    Constipation </vt:lpstr>
      <vt:lpstr>Syndrome de canal carpien</vt:lpstr>
      <vt:lpstr>Douleurs lombopelviennes</vt:lpstr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11</cp:revision>
  <dcterms:created xsi:type="dcterms:W3CDTF">2025-06-07T01:39:00Z</dcterms:created>
  <dcterms:modified xsi:type="dcterms:W3CDTF">2025-07-29T00:35:00Z</dcterms:modified>
</cp:coreProperties>
</file>