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A97986" w:rsidP="00872EA0">
      <w:pPr>
        <w:pStyle w:val="Titre"/>
      </w:pPr>
      <w:r>
        <w:t>Pré-ménopause ou péri-ménopause</w:t>
      </w:r>
    </w:p>
    <w:p w:rsidR="00872EA0" w:rsidRPr="006A7777" w:rsidRDefault="00A97986" w:rsidP="00A97986">
      <w:pPr>
        <w:rPr>
          <w:color w:val="FF0000"/>
          <w:lang w:val="fr-FR"/>
        </w:rPr>
      </w:pPr>
      <w:r w:rsidRPr="006A7777">
        <w:rPr>
          <w:color w:val="FF0000"/>
          <w:lang w:val="fr-FR"/>
        </w:rPr>
        <w:t>Objectifs</w:t>
      </w:r>
    </w:p>
    <w:p w:rsidR="00A97986" w:rsidRPr="006A7777" w:rsidRDefault="00A97986" w:rsidP="006A7777">
      <w:pPr>
        <w:pStyle w:val="Paragraphedeliste"/>
        <w:numPr>
          <w:ilvl w:val="0"/>
          <w:numId w:val="34"/>
        </w:numPr>
        <w:rPr>
          <w:lang w:val="fr-FR"/>
        </w:rPr>
      </w:pPr>
      <w:r w:rsidRPr="006A7777">
        <w:rPr>
          <w:lang w:val="fr-FR"/>
        </w:rPr>
        <w:t>Définir la péri-ménopause</w:t>
      </w:r>
    </w:p>
    <w:p w:rsidR="00A97986" w:rsidRPr="006A7777" w:rsidRDefault="00A97986" w:rsidP="006A7777">
      <w:pPr>
        <w:pStyle w:val="Paragraphedeliste"/>
        <w:numPr>
          <w:ilvl w:val="0"/>
          <w:numId w:val="34"/>
        </w:numPr>
        <w:rPr>
          <w:lang w:val="fr-FR"/>
        </w:rPr>
      </w:pPr>
      <w:r w:rsidRPr="006A7777">
        <w:rPr>
          <w:lang w:val="fr-FR"/>
        </w:rPr>
        <w:t>Citer les signes cliniques</w:t>
      </w:r>
    </w:p>
    <w:p w:rsidR="00A97986" w:rsidRPr="006A7777" w:rsidRDefault="00A97986" w:rsidP="006A7777">
      <w:pPr>
        <w:pStyle w:val="Paragraphedeliste"/>
        <w:numPr>
          <w:ilvl w:val="0"/>
          <w:numId w:val="34"/>
        </w:numPr>
        <w:rPr>
          <w:lang w:val="fr-FR"/>
        </w:rPr>
      </w:pPr>
      <w:r w:rsidRPr="006A7777">
        <w:rPr>
          <w:lang w:val="fr-FR"/>
        </w:rPr>
        <w:t>Enumérer le principe de prise en charge</w:t>
      </w:r>
    </w:p>
    <w:p w:rsidR="00A97986" w:rsidRDefault="00A97986" w:rsidP="00A97986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 ou péri-ménopause</w:t>
      </w:r>
      <w:bookmarkStart w:id="0" w:name="_GoBack"/>
      <w:bookmarkEnd w:id="0"/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Phase physiologique précédant l’arrêt définitive des règles </w:t>
      </w:r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Sécrétion accrue d’œstrogène E2 non équilibrée par l’action de progestérone, puis de la sécrétion d’E2 et de progestérone</w:t>
      </w:r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 apparaissant quelques mois ou quelques années avant la ménopause (3 ans en moyenne)</w:t>
      </w:r>
    </w:p>
    <w:p w:rsidR="00A97986" w:rsidRDefault="00A97986" w:rsidP="00A97986">
      <w:pPr>
        <w:pStyle w:val="Titre1"/>
        <w:rPr>
          <w:lang w:val="fr-FR"/>
        </w:rPr>
      </w:pPr>
      <w:r>
        <w:rPr>
          <w:lang w:val="fr-FR"/>
        </w:rPr>
        <w:t xml:space="preserve">Diagnostic </w:t>
      </w:r>
    </w:p>
    <w:p w:rsidR="00A97986" w:rsidRDefault="00A97986" w:rsidP="00A97986">
      <w:pPr>
        <w:pStyle w:val="Titre2"/>
        <w:rPr>
          <w:lang w:val="fr-FR"/>
        </w:rPr>
      </w:pPr>
      <w:r>
        <w:rPr>
          <w:lang w:val="fr-FR"/>
        </w:rPr>
        <w:t xml:space="preserve">Clinique </w:t>
      </w:r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Modification du cycle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Raccourci +++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Diminution de la quantité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Augmentation de la quantité</w:t>
      </w:r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Fatigabilité </w:t>
      </w:r>
    </w:p>
    <w:p w:rsidR="00A97986" w:rsidRDefault="00A97986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Apparition ou aggravation du syndrome prémenstruel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Maux de tête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Gonflement et douleur des seins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Ballonnement abdominal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Œdème des extrémités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Irritabilité</w:t>
      </w:r>
    </w:p>
    <w:p w:rsidR="00A97986" w:rsidRDefault="00A97986" w:rsidP="00A9798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Débutant 10 – 12 jours avant les règles </w:t>
      </w:r>
    </w:p>
    <w:p w:rsidR="00A97986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Trouble du sommeil : sommeil agité pendant les règles</w:t>
      </w:r>
    </w:p>
    <w:p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Sueurs nocturnes</w:t>
      </w:r>
    </w:p>
    <w:p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Diminution ou perte de la libido</w:t>
      </w:r>
    </w:p>
    <w:p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Sècheresse vaginale</w:t>
      </w:r>
    </w:p>
    <w:p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Incontinence urinaire à l’effort (1/3 des femmes)</w:t>
      </w:r>
    </w:p>
    <w:p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de poids (liée à la baisse d’œstrogène)</w:t>
      </w:r>
    </w:p>
    <w:p w:rsidR="004873F1" w:rsidRDefault="004873F1" w:rsidP="00A9798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Prise de graisse viscérale par augmentation  de la proportion d’androgène </w:t>
      </w:r>
    </w:p>
    <w:p w:rsidR="004873F1" w:rsidRDefault="004873F1" w:rsidP="004873F1">
      <w:pPr>
        <w:pStyle w:val="Titre2"/>
        <w:rPr>
          <w:lang w:val="fr-FR"/>
        </w:rPr>
      </w:pPr>
      <w:r>
        <w:rPr>
          <w:lang w:val="fr-FR"/>
        </w:rPr>
        <w:t>Paraclinique</w:t>
      </w:r>
    </w:p>
    <w:p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FSH </w:t>
      </w:r>
      <w:r>
        <w:rPr>
          <w:rFonts w:ascii="Arial" w:hAnsi="Arial" w:cs="Arial"/>
          <w:lang w:val="fr-FR"/>
        </w:rPr>
        <w:t>↑</w:t>
      </w:r>
      <w:r>
        <w:rPr>
          <w:lang w:val="fr-FR"/>
        </w:rPr>
        <w:t xml:space="preserve"> et LH normale</w:t>
      </w:r>
    </w:p>
    <w:p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Œstrogène augmenté au début, puis basse</w:t>
      </w:r>
    </w:p>
    <w:p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Progestérone basse </w:t>
      </w:r>
    </w:p>
    <w:p w:rsidR="004873F1" w:rsidRDefault="004873F1" w:rsidP="004873F1">
      <w:pPr>
        <w:pStyle w:val="Titre1"/>
        <w:rPr>
          <w:lang w:val="fr-FR"/>
        </w:rPr>
      </w:pPr>
      <w:r>
        <w:rPr>
          <w:lang w:val="fr-FR"/>
        </w:rPr>
        <w:t>Traitement</w:t>
      </w:r>
    </w:p>
    <w:p w:rsidR="004873F1" w:rsidRDefault="004873F1" w:rsidP="004873F1">
      <w:pPr>
        <w:pStyle w:val="Titre2"/>
        <w:rPr>
          <w:lang w:val="fr-FR"/>
        </w:rPr>
      </w:pPr>
      <w:r>
        <w:rPr>
          <w:lang w:val="fr-FR"/>
        </w:rPr>
        <w:t>Traitement non médicamenteux</w:t>
      </w:r>
    </w:p>
    <w:p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Soutien psychologique</w:t>
      </w:r>
    </w:p>
    <w:p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Expliquer : aider à comprendre les changements hormonaux</w:t>
      </w:r>
    </w:p>
    <w:p w:rsidR="004873F1" w:rsidRDefault="004873F1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Alimentation saine et équilibrée</w:t>
      </w:r>
    </w:p>
    <w:p w:rsidR="004873F1" w:rsidRDefault="004873F1" w:rsidP="004873F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Riche en fibre</w:t>
      </w:r>
    </w:p>
    <w:p w:rsidR="004873F1" w:rsidRDefault="004873F1" w:rsidP="004873F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Protéine maigre</w:t>
      </w:r>
    </w:p>
    <w:p w:rsidR="004873F1" w:rsidRDefault="004873F1" w:rsidP="004873F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Riche en phyto-</w:t>
      </w:r>
      <w:r w:rsidR="00EA4533">
        <w:rPr>
          <w:lang w:val="fr-FR"/>
        </w:rPr>
        <w:t>œstrogène</w:t>
      </w:r>
      <w:r>
        <w:rPr>
          <w:lang w:val="fr-FR"/>
        </w:rPr>
        <w:t xml:space="preserve"> (soja, graine de lin)</w:t>
      </w:r>
    </w:p>
    <w:p w:rsidR="004873F1" w:rsidRDefault="00EA4533" w:rsidP="004873F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Activité physique régulière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15 – 30 minutes de marche par jour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Réduit le risque de prise de poids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Gestion du stress +++</w:t>
      </w:r>
    </w:p>
    <w:p w:rsidR="00EA4533" w:rsidRDefault="00EA4533" w:rsidP="00EA453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Kinésithérapie périnéale (à faire soi-même)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Renforce les muscles pelviens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Prévient et atténué les problèmes d’incontinence urinaire</w:t>
      </w:r>
    </w:p>
    <w:p w:rsidR="00EA4533" w:rsidRDefault="00EA4533" w:rsidP="00EA453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Optimiser la qualité du sommeil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Dormir 8 heures/nuit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Dormir à heure régulière</w:t>
      </w:r>
    </w:p>
    <w:p w:rsidR="00EA4533" w:rsidRDefault="00EA4533" w:rsidP="00EA453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Pas d’écran 1 – 2 heures avant le coucher </w:t>
      </w:r>
    </w:p>
    <w:p w:rsidR="00EA4533" w:rsidRDefault="008F5EBD" w:rsidP="00EA453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Eviter les facteurs aggravants</w:t>
      </w:r>
    </w:p>
    <w:p w:rsidR="008F5EBD" w:rsidRDefault="008F5EBD" w:rsidP="008F5EB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Alcool</w:t>
      </w:r>
    </w:p>
    <w:p w:rsidR="008F5EBD" w:rsidRDefault="008F5EBD" w:rsidP="008F5EB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Caféine</w:t>
      </w:r>
    </w:p>
    <w:p w:rsidR="008F5EBD" w:rsidRDefault="008F5EBD" w:rsidP="008F5EB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Aliments épicés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Boire de l’eau +++</w:t>
      </w:r>
    </w:p>
    <w:p w:rsidR="008F5EBD" w:rsidRDefault="008F5EBD" w:rsidP="008F5EBD">
      <w:pPr>
        <w:pStyle w:val="Titre2"/>
        <w:rPr>
          <w:lang w:val="fr-FR"/>
        </w:rPr>
      </w:pPr>
      <w:r>
        <w:rPr>
          <w:lang w:val="fr-FR"/>
        </w:rPr>
        <w:t>Traitement symptomatique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Anxiolytique 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Crème hydratant locale vaginale ou lubrifiant</w:t>
      </w:r>
    </w:p>
    <w:p w:rsidR="008F5EBD" w:rsidRDefault="008F5EBD" w:rsidP="008F5EBD">
      <w:pPr>
        <w:pStyle w:val="Titre2"/>
        <w:rPr>
          <w:lang w:val="fr-FR"/>
        </w:rPr>
      </w:pPr>
      <w:r>
        <w:rPr>
          <w:lang w:val="fr-FR"/>
        </w:rPr>
        <w:t>Traitement médicamenteux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Progestérone du 15 au 25</w:t>
      </w:r>
      <w:r w:rsidRPr="008F5EBD">
        <w:rPr>
          <w:vertAlign w:val="superscript"/>
          <w:lang w:val="fr-FR"/>
        </w:rPr>
        <w:t>ème</w:t>
      </w:r>
      <w:r>
        <w:rPr>
          <w:lang w:val="fr-FR"/>
        </w:rPr>
        <w:t xml:space="preserve"> jour (n’empêche pas la ménopause)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Vitamine E (effet placebo+++)</w:t>
      </w:r>
    </w:p>
    <w:p w:rsidR="008F5EBD" w:rsidRDefault="008F5EBD" w:rsidP="008F5EBD">
      <w:pPr>
        <w:pStyle w:val="Titre1"/>
        <w:rPr>
          <w:lang w:val="fr-FR"/>
        </w:rPr>
      </w:pPr>
      <w:r>
        <w:rPr>
          <w:lang w:val="fr-FR"/>
        </w:rPr>
        <w:t xml:space="preserve">Conclusion 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Pré ou péri-ménopause : période précédant la ménopause </w:t>
      </w:r>
    </w:p>
    <w:p w:rsid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3 ans en moyenne</w:t>
      </w:r>
    </w:p>
    <w:p w:rsidR="008F5EBD" w:rsidRPr="008F5EBD" w:rsidRDefault="008F5EBD" w:rsidP="008F5EB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Soutien psychologique ++++</w:t>
      </w:r>
    </w:p>
    <w:sectPr w:rsidR="008F5EBD" w:rsidRPr="008F5EBD" w:rsidSect="00ED58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2B1D" w:rsidRDefault="00C42B1D" w:rsidP="00ED58FF">
      <w:pPr>
        <w:spacing w:line="240" w:lineRule="auto"/>
      </w:pPr>
      <w:r>
        <w:separator/>
      </w:r>
    </w:p>
  </w:endnote>
  <w:endnote w:type="continuationSeparator" w:id="0">
    <w:p w:rsidR="00C42B1D" w:rsidRDefault="00C42B1D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F62" w:rsidRDefault="00127F6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F62" w:rsidRDefault="00127F6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2B1D" w:rsidRDefault="00C42B1D" w:rsidP="00ED58FF">
      <w:pPr>
        <w:spacing w:line="240" w:lineRule="auto"/>
      </w:pPr>
      <w:r>
        <w:separator/>
      </w:r>
    </w:p>
  </w:footnote>
  <w:footnote w:type="continuationSeparator" w:id="0">
    <w:p w:rsidR="00C42B1D" w:rsidRDefault="00C42B1D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F62" w:rsidRDefault="00127F6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034F66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>Gynécologie</w:t>
    </w:r>
    <w:r w:rsidR="00127F62">
      <w:rPr>
        <w:b/>
        <w:noProof/>
        <w:color w:val="808080" w:themeColor="background1" w:themeShade="80"/>
        <w:lang w:val="fr-FR"/>
      </w:rPr>
      <w:t xml:space="preserve"> obstétrique</w:t>
    </w:r>
    <w:r>
      <w:rPr>
        <w:b/>
        <w:noProof/>
        <w:color w:val="808080" w:themeColor="background1" w:themeShade="80"/>
        <w:lang w:val="fr-FR"/>
      </w:rPr>
      <w:t xml:space="preserve"> du 30 Juillet </w:t>
    </w:r>
    <w:r w:rsidR="00696BBE" w:rsidRPr="00696BBE">
      <w:rPr>
        <w:b/>
        <w:noProof/>
        <w:color w:val="808080" w:themeColor="background1" w:themeShade="80"/>
        <w:lang w:val="fr-FR"/>
      </w:rPr>
      <w:t>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F62" w:rsidRDefault="00127F6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B82C99"/>
    <w:multiLevelType w:val="hybridMultilevel"/>
    <w:tmpl w:val="6D18C9D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E5174"/>
    <w:multiLevelType w:val="hybridMultilevel"/>
    <w:tmpl w:val="6A304BFC"/>
    <w:lvl w:ilvl="0" w:tplc="0DE09A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2"/>
  </w:num>
  <w:num w:numId="3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34F66"/>
    <w:rsid w:val="00055C62"/>
    <w:rsid w:val="00097EAE"/>
    <w:rsid w:val="000D3B92"/>
    <w:rsid w:val="00101625"/>
    <w:rsid w:val="00127F62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873F1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A7777"/>
    <w:rsid w:val="0075213D"/>
    <w:rsid w:val="00795614"/>
    <w:rsid w:val="007C33B7"/>
    <w:rsid w:val="00872EA0"/>
    <w:rsid w:val="008809FC"/>
    <w:rsid w:val="008C5E2B"/>
    <w:rsid w:val="008D5B42"/>
    <w:rsid w:val="008F1FDE"/>
    <w:rsid w:val="008F5EBD"/>
    <w:rsid w:val="00926B96"/>
    <w:rsid w:val="00A20C5D"/>
    <w:rsid w:val="00A97986"/>
    <w:rsid w:val="00AB4EC0"/>
    <w:rsid w:val="00AC0D72"/>
    <w:rsid w:val="00AD761F"/>
    <w:rsid w:val="00BB4BA5"/>
    <w:rsid w:val="00C36BEA"/>
    <w:rsid w:val="00C42B1D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A4533"/>
    <w:rsid w:val="00ED0596"/>
    <w:rsid w:val="00ED58FF"/>
    <w:rsid w:val="00EE69F1"/>
    <w:rsid w:val="00F048D4"/>
    <w:rsid w:val="00F17AB1"/>
    <w:rsid w:val="00F42F89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6</vt:i4>
      </vt:variant>
    </vt:vector>
  </HeadingPairs>
  <TitlesOfParts>
    <vt:vector size="7" baseType="lpstr">
      <vt:lpstr/>
      <vt:lpstr>Introduction </vt:lpstr>
      <vt:lpstr>Diagnostic </vt:lpstr>
      <vt:lpstr>    Clinique </vt:lpstr>
      <vt:lpstr>    Paraclinique</vt:lpstr>
      <vt:lpstr>Traitement</vt:lpstr>
      <vt:lpstr>    Traitement non médicamenteux</vt:lpstr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21</cp:revision>
  <dcterms:created xsi:type="dcterms:W3CDTF">2025-06-07T01:39:00Z</dcterms:created>
  <dcterms:modified xsi:type="dcterms:W3CDTF">2025-07-30T00:33:00Z</dcterms:modified>
</cp:coreProperties>
</file>