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rPr/>
      </w:pPr>
      <w:r>
        <w:rPr>
          <w:lang w:val="en-US"/>
        </w:rPr>
        <w:t xml:space="preserve">Puberté </w:t>
      </w:r>
    </w:p>
    <w:p>
      <w:pPr>
        <w:pStyle w:val="style0"/>
        <w:numPr>
          <w:ilvl w:val="0"/>
          <w:numId w:val="0"/>
        </w:numPr>
        <w:jc w:val="right"/>
        <w:rPr>
          <w:color w:val="ff0000"/>
        </w:rPr>
      </w:pPr>
      <w:r>
        <w:rPr>
          <w:color w:val="ff0000"/>
          <w:lang w:val="en-US"/>
        </w:rPr>
        <w:t xml:space="preserve">Objectif </w:t>
      </w:r>
    </w:p>
    <w:p>
      <w:pPr>
        <w:pStyle w:val="style0"/>
        <w:numPr>
          <w:ilvl w:val="0"/>
          <w:numId w:val="0"/>
        </w:numPr>
        <w:jc w:val="right"/>
        <w:rPr/>
      </w:pPr>
      <w:r>
        <w:rPr>
          <w:lang w:val="en-US"/>
        </w:rPr>
        <w:t>Citer les étapes cliniques  et physiologique d'une puberté normale</w:t>
      </w:r>
    </w:p>
    <w:p>
      <w:pPr>
        <w:pStyle w:val="style0"/>
        <w:numPr>
          <w:ilvl w:val="0"/>
          <w:numId w:val="0"/>
        </w:numPr>
        <w:jc w:val="right"/>
        <w:rPr/>
      </w:pPr>
      <w:r>
        <w:rPr>
          <w:lang w:val="en-US"/>
        </w:rPr>
        <w:t>Citer les éléments de diagnostic de la puberté</w:t>
      </w:r>
    </w:p>
    <w:p>
      <w:pPr>
        <w:pStyle w:val="style0"/>
        <w:numPr>
          <w:ilvl w:val="0"/>
          <w:numId w:val="0"/>
        </w:numPr>
        <w:jc w:val="right"/>
        <w:rPr/>
      </w:pPr>
      <w:r>
        <w:rPr>
          <w:lang w:val="en-US"/>
        </w:rPr>
        <w:t xml:space="preserve">Dépister les signes d'anomalies pubertaire </w:t>
      </w:r>
    </w:p>
    <w:p>
      <w:pPr>
        <w:pStyle w:val="style0"/>
        <w:numPr>
          <w:ilvl w:val="0"/>
          <w:numId w:val="0"/>
        </w:numPr>
        <w:jc w:val="right"/>
        <w:rPr/>
      </w:pPr>
      <w:r>
        <w:rPr>
          <w:lang w:val="en-US"/>
        </w:rPr>
        <w:t xml:space="preserve">Référer au milieu spécialisé </w:t>
      </w:r>
    </w:p>
    <w:bookmarkStart w:id="0" w:name="_GoBack"/>
    <w:bookmarkEnd w:id="0"/>
    <w:p>
      <w:pPr>
        <w:pStyle w:val="style1"/>
        <w:rPr/>
      </w:pPr>
      <w:r>
        <w:t xml:space="preserve">Introduction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Étape importante et obligatoire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Bouleversement dans la vie du jeune enfant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Passage de l'état enfant à l'état adulte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Maturation de l'axe hypothalamo-hypophysaire et des gonade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Apparition des caractères sexuels secondaires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Aptitude à procréer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Rôle de la famille +++ et du médecin </w:t>
      </w:r>
    </w:p>
    <w:p>
      <w:pPr>
        <w:pStyle w:val="style1"/>
        <w:rPr/>
      </w:pPr>
      <w:r>
        <w:t>Physiologie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Ensemble des phénomènes physiques, psychique, mentaux, affectifs qui caractérisent le passage de l'enfance à l'adulte et aboutissent à la fonction de reproduction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Ces changements s'étaient sur une durée moyenne d'environ 4 ans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Plus précoce chez la fille</w:t>
      </w:r>
    </w:p>
    <w:p>
      <w:pPr>
        <w:pStyle w:val="style2"/>
        <w:rPr/>
      </w:pPr>
      <w:r>
        <w:t xml:space="preserve">Physiologie de la puberté </w:t>
      </w:r>
    </w:p>
    <w:p>
      <w:pPr>
        <w:pStyle w:val="style3"/>
        <w:rPr/>
      </w:pPr>
      <w:r>
        <w:t xml:space="preserve">Axe hypothalamo-hypophysaire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Activités importante dans la vie intra-utérine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Système fonctionnel dès la naissance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Etat de quiescence durant l'enfance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Réactivation à la puberté : sécrétion pulsatile de GnRH par l'hypothalamus, libération intermittente de LH et FSH</w:t>
      </w:r>
    </w:p>
    <w:p>
      <w:pPr>
        <w:pStyle w:val="style3"/>
        <w:rPr/>
      </w:pPr>
      <w:r>
        <w:t>Début d'activité ovarienne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Apparition progressive des caractères sexuels secondaires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Apparition des règles </w:t>
      </w:r>
    </w:p>
    <w:tbl>
      <w:tblPr>
        <w:tblStyle w:val="style154"/>
        <w:tblW w:w="64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3212"/>
        <w:gridCol w:w="3213"/>
        <w:gridCol w:w="67"/>
      </w:tblGrid>
      <w:tr>
        <w:trPr/>
        <w:tc>
          <w:tcPr>
            <w:tcW w:w="64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>
              <w:rPr>
                <w:lang w:val="en-US"/>
              </w:rPr>
              <w:t>Apparition caractères sexuels secondaires</w:t>
            </w:r>
          </w:p>
          <w:p>
            <w:pPr>
              <w:pStyle w:val="style0"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>
              <w:rPr>
                <w:lang w:val="en-US"/>
              </w:rPr>
              <w:t>Accélération vitesse de croissance</w:t>
            </w:r>
          </w:p>
          <w:p>
            <w:pPr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>
              <w:rPr>
                <w:lang w:val="en-US"/>
              </w:rPr>
              <w:t>Maturation osseuse</w:t>
            </w:r>
          </w:p>
        </w:tc>
      </w:tr>
      <w:tr>
        <w:tblPrEx/>
        <w:trPr>
          <w:gridAfter w:val="1"/>
        </w:trPr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>
              <w:rPr>
                <w:lang w:val="en-US"/>
              </w:rPr>
              <w:t>Morphologie et psychisme adulte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>
              <w:rPr>
                <w:lang w:val="en-US"/>
              </w:rPr>
              <w:t>Capacité de reproduction</w:t>
            </w:r>
          </w:p>
        </w:tc>
      </w:tr>
    </w:tbl>
    <w:p>
      <w:pPr>
        <w:numPr>
          <w:ilvl w:val="0"/>
          <w:numId w:val="0"/>
        </w:numPr>
        <w:rPr>
          <w:lang w:val="fr-FR"/>
        </w:rPr>
      </w:pPr>
    </w:p>
    <w:p>
      <w:pPr>
        <w:pStyle w:val="style2"/>
        <w:rPr/>
      </w:pPr>
      <w:r>
        <w:t>Facteurs influençant la puberté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Génétiques : facteur familial et éthnique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Environnement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Maladie / médicaments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Stress physique ou psychologique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Intégrité des facteurs neuro-hypothalamiques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Hormone de croissance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Etat nutritionnel</w:t>
      </w:r>
    </w:p>
    <w:p>
      <w:pPr>
        <w:pStyle w:val="style179"/>
        <w:numPr>
          <w:ilvl w:val="2"/>
          <w:numId w:val="2"/>
        </w:numPr>
        <w:rPr>
          <w:lang w:val="fr-FR"/>
        </w:rPr>
      </w:pPr>
      <w:r>
        <w:rPr>
          <w:lang w:val="en-US"/>
        </w:rPr>
        <w:t>Masse adipeuse</w:t>
      </w:r>
    </w:p>
    <w:p>
      <w:pPr>
        <w:pStyle w:val="style179"/>
        <w:numPr>
          <w:ilvl w:val="2"/>
          <w:numId w:val="2"/>
        </w:numPr>
        <w:rPr>
          <w:lang w:val="fr-FR"/>
        </w:rPr>
      </w:pPr>
      <w:r>
        <w:rPr>
          <w:lang w:val="en-US"/>
        </w:rPr>
        <w:t>Leptine</w:t>
      </w:r>
    </w:p>
    <w:p>
      <w:pPr>
        <w:pStyle w:val="style1"/>
        <w:rPr/>
      </w:pPr>
      <w:r>
        <w:t>Puberté</w:t>
      </w:r>
      <w:r>
        <w:rPr>
          <w:rStyle w:val="style38"/>
        </w:rPr>
        <w:footnoteReference w:id="1"/>
      </w:r>
      <w:r>
        <w:t xml:space="preserve"> clinique</w:t>
      </w:r>
    </w:p>
    <w:p>
      <w:pPr>
        <w:pStyle w:val="style2"/>
        <w:rPr/>
      </w:pPr>
      <w:r>
        <w:t>Puberté chez la jeune fille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8 - 13 ans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Apparition des bourgeons mammaires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Apparition des pilosités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Pubienne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Axillaire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Poussée de croissance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Apparition des premières règles : ménarches</w:t>
      </w:r>
    </w:p>
    <w:p>
      <w:pPr>
        <w:pStyle w:val="style3"/>
        <w:rPr/>
      </w:pPr>
      <w:r>
        <w:t>Développement des glandes mammaires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1er signe de puberté observable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Début : à partir 10,5 - 11 ans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Evaluation clinique: stade de TANNER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M1: pré pubertaire, papille élevée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M2 : apparition bourgeons mammaires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M3 : élargissement et saillie de l'aréole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M4 : projection en avant de l'aréole et du mamelon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M5  : aréole pigmentée et seul le mamelon fait saillie</w:t>
      </w:r>
    </w:p>
    <w:p>
      <w:pPr>
        <w:pStyle w:val="style3"/>
        <w:rPr/>
      </w:pPr>
      <w:r>
        <w:t>Développement de la pilosité pubienne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Apparition : P2 ➡️ 11,5 ans (8 - 14ans)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Après début développement seins (quelques mois)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Avant quelque fois (16%)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Egal chez les deux sexes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Formes différentes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P1 : pilosité pré pubertaire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P2 : pilosité pubienne débutante le long des grandes lèvres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P3 : pilosité plus dense, foncée, frisée, dépasse la symphyse pubienne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P4 : pilosité adulte, répartition incomplète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P5 : répartition adulte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P6 : débordement sur cuisses</w:t>
      </w:r>
    </w:p>
    <w:p>
      <w:pPr>
        <w:pStyle w:val="style3"/>
        <w:rPr>
          <w:lang w:val="fr-FR"/>
        </w:rPr>
      </w:pPr>
      <w:r>
        <w:t>Ménarches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Apparition des premiers saignements génitaux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Age : 12,5 ans ± 2 - 2,5 ans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Souvent irréguliers au début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Quelque fois cycles anovulatoires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Souvent d'inquiétude et d'anxiété</w:t>
      </w:r>
    </w:p>
    <w:p>
      <w:pPr>
        <w:pStyle w:val="style3"/>
        <w:rPr/>
      </w:pPr>
      <w:r>
        <w:t>Poussées de croissance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Dès le début de la puberté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Accélération de la croissance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Passe de 5 cm/an à 8 cm/an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En moyenne +23 - 25cm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140 ➡️ 163cm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Ralentissement puis arrêt de la croissance : taille finale à 18 ans environ</w:t>
      </w:r>
    </w:p>
    <w:p>
      <w:pPr>
        <w:pStyle w:val="style3"/>
        <w:rPr/>
      </w:pPr>
      <w:r>
        <w:t>Caractères sexuels secondaires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Diamètre bi-acromial : plus large chez le garçon par rapport au jeune fille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Rapport segment supérieur/inférieur</w:t>
      </w:r>
      <w:r>
        <w:rPr>
          <w:rStyle w:val="style38"/>
        </w:rPr>
        <w:footnoteReference w:id="2"/>
      </w:r>
      <w:r>
        <w:rPr>
          <w:lang w:val="en-US"/>
        </w:rPr>
        <w:t xml:space="preserve"> : macroskélie?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Répartition de la graisse (aspect gynoïde ➡️ fille et androïde ➡️ garçon)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Développement de la musculature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Pilosité : abondance, répartition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Peau : douce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Voix</w:t>
      </w:r>
    </w:p>
    <w:p>
      <w:pPr>
        <w:pStyle w:val="style3"/>
        <w:rPr/>
      </w:pPr>
      <w:r>
        <w:t>Examen paraclinique</w:t>
      </w:r>
    </w:p>
    <w:p>
      <w:pPr>
        <w:pStyle w:val="style4"/>
        <w:rPr/>
      </w:pPr>
      <w:r>
        <w:t>Biologie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NFS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Biologie standard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Hormonologie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E2, Prg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FSH et LH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Test à la GnRH</w:t>
      </w:r>
    </w:p>
    <w:p>
      <w:pPr>
        <w:pStyle w:val="style179"/>
        <w:numPr>
          <w:ilvl w:val="2"/>
          <w:numId w:val="2"/>
        </w:numPr>
        <w:rPr>
          <w:lang w:val="fr-FR"/>
        </w:rPr>
      </w:pPr>
      <w:r>
        <w:rPr>
          <w:lang w:val="en-US"/>
        </w:rPr>
        <w:t>Pic LH &gt; à pic FSH</w:t>
      </w:r>
    </w:p>
    <w:p>
      <w:pPr>
        <w:pStyle w:val="style179"/>
        <w:numPr>
          <w:ilvl w:val="2"/>
          <w:numId w:val="2"/>
        </w:numPr>
        <w:rPr>
          <w:lang w:val="fr-FR"/>
        </w:rPr>
      </w:pPr>
      <w:r>
        <w:rPr>
          <w:lang w:val="en-US"/>
        </w:rPr>
        <w:t>Estradiol &gt; 20 pg/ml</w:t>
      </w:r>
    </w:p>
    <w:p>
      <w:pPr>
        <w:pStyle w:val="style4"/>
        <w:rPr/>
      </w:pPr>
      <w:r>
        <w:t>Imagerie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Echographie pelvienne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Longueur utérine &gt; à 35 mm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Ovaires &gt;  25 mm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Apparition ligne de vacuité utérine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Radiographie main gauche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Age osseux : apparition sésamoïde des pouces à partir de 11 ans chez la fille</w:t>
      </w:r>
    </w:p>
    <w:p>
      <w:pPr>
        <w:pStyle w:val="style2"/>
        <w:rPr/>
      </w:pPr>
      <w:r>
        <w:t>Puberté clinique chez le garçon</w:t>
      </w:r>
    </w:p>
    <w:p>
      <w:pPr>
        <w:pStyle w:val="style3"/>
        <w:rPr/>
      </w:pPr>
      <w:r>
        <w:t>Examen clinique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Age 9,5 - 14 ans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Développement des testicules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&gt; 2,5 cm de diamètre (4 ml) striatum scrotum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Allongement de la verge vers 12,5 ans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Pilosité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Pubienne (6mois plus tard)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Puis faciale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Modification de la voix (tardive)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Gynécomastie et seins douloureux (variable selon les personnes, l'ethnie, l'hérédité...)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Stades de Tanner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P1 : aucune pilosité pubienne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P2 : poils longs, clairsemés faiblement pigmentés à la base du pénis ou a/n scrotal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P3 : poils plus abondants, pigmentés et bouclés limités au pubis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P4 : poils d'apparence adulte mais n'atteignant pas l'intérieur des cuisses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P5 : répartition adulte de la pilosité</w:t>
      </w:r>
    </w:p>
    <w:p>
      <w:pPr>
        <w:pStyle w:val="style179"/>
        <w:numPr>
          <w:ilvl w:val="0"/>
          <w:numId w:val="0"/>
        </w:numPr>
        <w:ind w:left="1080" w:firstLine="0"/>
        <w:rPr>
          <w:lang w:val="fr-FR"/>
        </w:rPr>
      </w:pP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G1 : infantile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G2 : 25 - 30mm (4 - 6 ml)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G3 : 30 - 40 mm (6 - 12 ml), croissance verge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G4 : 40 - 50 mm (12 - 16 ml)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G5 : adulte</w:t>
      </w:r>
    </w:p>
    <w:p>
      <w:pPr>
        <w:pStyle w:val="style3"/>
        <w:rPr/>
      </w:pPr>
      <w:r>
        <w:t>Examen paraclinique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Biologie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NFS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Biologie standard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Hormonologie</w:t>
      </w:r>
    </w:p>
    <w:p>
      <w:pPr>
        <w:pStyle w:val="style179"/>
        <w:numPr>
          <w:ilvl w:val="2"/>
          <w:numId w:val="2"/>
        </w:numPr>
        <w:rPr>
          <w:lang w:val="fr-FR"/>
        </w:rPr>
      </w:pPr>
      <w:r>
        <w:rPr>
          <w:lang w:val="en-US"/>
        </w:rPr>
        <w:t>FSH et LH</w:t>
      </w:r>
    </w:p>
    <w:p>
      <w:pPr>
        <w:pStyle w:val="style179"/>
        <w:numPr>
          <w:ilvl w:val="2"/>
          <w:numId w:val="2"/>
        </w:numPr>
        <w:rPr>
          <w:lang w:val="fr-FR"/>
        </w:rPr>
      </w:pPr>
      <w:r>
        <w:rPr>
          <w:lang w:val="en-US"/>
        </w:rPr>
        <w:t>Test à la GnRH</w:t>
      </w:r>
    </w:p>
    <w:p>
      <w:pPr>
        <w:pStyle w:val="style179"/>
        <w:numPr>
          <w:ilvl w:val="3"/>
          <w:numId w:val="2"/>
        </w:numPr>
        <w:rPr>
          <w:lang w:val="fr-FR"/>
        </w:rPr>
      </w:pPr>
      <w:r>
        <w:rPr>
          <w:lang w:val="en-US"/>
        </w:rPr>
        <w:t>Pic LH &gt; pic FSH</w:t>
      </w:r>
    </w:p>
    <w:p>
      <w:pPr>
        <w:pStyle w:val="style179"/>
        <w:numPr>
          <w:ilvl w:val="3"/>
          <w:numId w:val="2"/>
        </w:numPr>
        <w:rPr>
          <w:lang w:val="fr-FR"/>
        </w:rPr>
      </w:pPr>
      <w:r>
        <w:rPr>
          <w:lang w:val="en-US"/>
        </w:rPr>
        <w:t>Testostérone &gt; 0, 5 ng/ml</w:t>
      </w:r>
    </w:p>
    <w:p>
      <w:pPr>
        <w:pStyle w:val="style179"/>
        <w:numPr>
          <w:ilvl w:val="3"/>
          <w:numId w:val="2"/>
        </w:numPr>
        <w:rPr>
          <w:lang w:val="fr-FR"/>
        </w:rPr>
      </w:pPr>
      <w:r>
        <w:rPr>
          <w:lang w:val="en-US"/>
        </w:rPr>
        <w:t>Testostérone 8h = 2x taux 20h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Orchidomètre de Pader</w:t>
      </w:r>
    </w:p>
    <w:p>
      <w:pPr>
        <w:pStyle w:val="style2"/>
        <w:rPr/>
      </w:pPr>
      <w:r>
        <w:t xml:space="preserve">Conclusion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Puberté : étape importante dans la vie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Bouleversement somatique, physiologique, et psychologique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Clinique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Taille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Apparition des pilosités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Ménarche (jeune fille)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Augmentation de la taille de l'appareil génital (garçons)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Caractères sexuels secondaires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Accompagnement familial</w:t>
      </w:r>
    </w:p>
    <w:p>
      <w:pPr>
        <w:pStyle w:val="style1"/>
        <w:rPr/>
      </w:pPr>
      <w:r>
        <w:t>Anomalie pubertaire</w:t>
      </w:r>
    </w:p>
    <w:p>
      <w:pPr>
        <w:pStyle w:val="style2"/>
        <w:rPr/>
      </w:pPr>
      <w:r>
        <w:t>Puberté précoce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Apparition de caractères sexuels secondaires: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Avant 8 ans chez la fille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Avant 11 ans chez le garçon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Problèmes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Maturation précoce des os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Causes organiques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Problèmes psychiques et socio-culturels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Causes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Tumorales : tumeurs hypophysaire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Environnementales (surtout alimentaires)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Traitement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Etiologique</w:t>
      </w:r>
    </w:p>
    <w:p>
      <w:pPr>
        <w:pStyle w:val="style179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Blocage de l'axe hypothalamo-hypophysaire (analogue ou antagoniste de Gonadotrophine) </w:t>
      </w:r>
    </w:p>
    <w:p>
      <w:pPr>
        <w:pStyle w:val="style179"/>
        <w:numPr>
          <w:ilvl w:val="0"/>
          <w:numId w:val="0"/>
        </w:numPr>
        <w:ind w:left="1080" w:firstLine="0"/>
        <w:rPr>
          <w:lang w:val="fr-FR"/>
        </w:rPr>
      </w:pPr>
      <w:r>
        <w:rPr>
          <w:lang w:val="en-US"/>
        </w:rPr>
        <w:t>Exemple : triptoréline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On distingue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Puberté précoce vraie : centrale ➡️ dépendante des gonadotrophines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Pseudo puberté précoce : origine surrénalienne ou gonadique autonome</w:t>
      </w:r>
    </w:p>
    <w:p>
      <w:pPr>
        <w:pStyle w:val="style3"/>
        <w:rPr/>
      </w:pPr>
      <w:r>
        <w:t>Puberté précoce de la fille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Prémature thélarche : apparition précoce des seins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Naissance - 2ans : idiopathique si isolé 90% cas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Plus tard : explorer ++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Prémature pubarche : apparition précoce de la pilosité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Tumeur surrénalienne : SDHEA (sulfate dehydroepie androstérone) élevé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Bloc enzymatique : 17 OHP élevé (17-hydroxy-progestérone)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Prémature ménarche : apparition précoce des règles (Ménarche)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Si isolé + biologie normale = idiopathique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Eliminer tumeur col/vagin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Plusieurs caractères prématurés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Origine centrale : tumeur hypothalamique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Tumeur ovarienne, surrénalienne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Syndrome de Mac Cune Albright</w:t>
      </w:r>
    </w:p>
    <w:p>
      <w:pPr>
        <w:pStyle w:val="style3"/>
        <w:rPr/>
      </w:pPr>
      <w:r>
        <w:t>Puberté précoce du garçon</w:t>
      </w:r>
    </w:p>
    <w:p>
      <w:pPr>
        <w:pStyle w:val="style4"/>
        <w:rPr/>
      </w:pPr>
      <w:r>
        <w:t>Puberté précoce vraie : origine testiculaire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Testicules &gt; 25 mm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Test LHRH : réponse forte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Cause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Pathologie hypothalamo-hypophysaire : gliome du chiasma, astrocytome...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Hydrocéphalie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Radiothérapie de l'encéphale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Puberté précoce idiopathique</w:t>
      </w:r>
    </w:p>
    <w:p>
      <w:pPr>
        <w:pStyle w:val="style4"/>
        <w:rPr/>
      </w:pPr>
      <w:r>
        <w:t>Pseudo-puberté précoce = origine extra-gonadique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Testicule &lt; 25 mm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Test LHRH plat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Cause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Hyperplasie surrénalienne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Tumeur bénigne ou maligne des surrénales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Tumeur testiculaires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Tumeur à HCG (médiastin,...) : Testicules &gt; 25 mm</w:t>
      </w:r>
    </w:p>
    <w:p>
      <w:pPr>
        <w:pStyle w:val="style2"/>
        <w:rPr/>
      </w:pPr>
      <w:r>
        <w:t>Retard pubertaire</w:t>
      </w:r>
    </w:p>
    <w:p>
      <w:pPr>
        <w:pStyle w:val="style3"/>
        <w:rPr/>
      </w:pPr>
      <w:r>
        <w:t>Généralités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Absence de développement de caractères sexuels secondaires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Après 14ans (garçon) : volume testiculaire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Après 13 ans (fille) :   développement des seins, absence de menstruations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Problèmes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Cause y compris différenciation sexuelle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Taille : Age osseux retardé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Impact psychologique important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Stérilité ultérieure</w:t>
      </w:r>
    </w:p>
    <w:p>
      <w:pPr>
        <w:pStyle w:val="style3"/>
        <w:rPr>
          <w:lang w:val="fr-FR"/>
        </w:rPr>
      </w:pPr>
      <w:r>
        <w:t>Diagnostic positif</w:t>
      </w:r>
    </w:p>
    <w:p>
      <w:pPr>
        <w:pStyle w:val="style4"/>
        <w:rPr/>
      </w:pPr>
      <w:r>
        <w:t xml:space="preserve">Clinique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Interrogatoire minutieuse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Antécédents familiaux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Histoire grossesse et de l'accouchement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Maladies au cours de l'enfance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Examen clinique complet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Taille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Poids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Examen appareil par appareil systématique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Examen pelvien</w:t>
      </w:r>
    </w:p>
    <w:p>
      <w:pPr>
        <w:pStyle w:val="style4"/>
        <w:rPr/>
      </w:pPr>
      <w:r>
        <w:t>Examen complémentaires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Imagerie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Rx poignet gauche : apparition du sésamoïde de la pouce: Age osseux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TDM - IRM crâne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Echographie pelvien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Biologie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Bilan standard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Bilan hormonal</w:t>
      </w:r>
    </w:p>
    <w:p>
      <w:pPr>
        <w:pStyle w:val="style179"/>
        <w:numPr>
          <w:ilvl w:val="2"/>
          <w:numId w:val="2"/>
        </w:numPr>
        <w:rPr>
          <w:lang w:val="fr-FR"/>
        </w:rPr>
      </w:pPr>
      <w:r>
        <w:rPr>
          <w:lang w:val="en-US"/>
        </w:rPr>
        <w:t>Testostérone (garçons)</w:t>
      </w:r>
    </w:p>
    <w:p>
      <w:pPr>
        <w:pStyle w:val="style179"/>
        <w:numPr>
          <w:ilvl w:val="2"/>
          <w:numId w:val="2"/>
        </w:numPr>
        <w:rPr>
          <w:lang w:val="fr-FR"/>
        </w:rPr>
      </w:pPr>
      <w:r>
        <w:rPr>
          <w:lang w:val="en-US"/>
        </w:rPr>
        <w:t>Œstrogènes, progestérone (fille)</w:t>
      </w:r>
    </w:p>
    <w:p>
      <w:pPr>
        <w:pStyle w:val="style179"/>
        <w:numPr>
          <w:ilvl w:val="2"/>
          <w:numId w:val="2"/>
        </w:numPr>
        <w:rPr>
          <w:lang w:val="fr-FR"/>
        </w:rPr>
      </w:pPr>
      <w:r>
        <w:rPr>
          <w:lang w:val="en-US"/>
        </w:rPr>
        <w:t xml:space="preserve">FSH et LH </w:t>
      </w:r>
    </w:p>
    <w:p>
      <w:pPr>
        <w:pStyle w:val="style179"/>
        <w:numPr>
          <w:ilvl w:val="2"/>
          <w:numId w:val="2"/>
        </w:numPr>
        <w:rPr>
          <w:lang w:val="fr-FR"/>
        </w:rPr>
      </w:pPr>
      <w:r>
        <w:rPr>
          <w:lang w:val="en-US"/>
        </w:rPr>
        <w:t>Test au LHRH</w:t>
      </w:r>
    </w:p>
    <w:p>
      <w:pPr>
        <w:pStyle w:val="style3"/>
        <w:rPr/>
      </w:pPr>
      <w:r>
        <w:t>Variétés de retard pubertaire</w:t>
      </w:r>
    </w:p>
    <w:p>
      <w:pPr>
        <w:pStyle w:val="style4"/>
        <w:rPr/>
      </w:pPr>
      <w:r>
        <w:t>Anomalies centrales</w:t>
      </w:r>
      <w:r>
        <w:rPr>
          <w:lang w:val="en-US"/>
        </w:rPr>
        <w:t xml:space="preserve"> </w:t>
      </w:r>
      <w:r>
        <w:t>: hypogonadisme hypogonadotrope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Diagnostic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Anomalies de sécrétion de gonadotrophines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FSH LH abaissés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Stéroïdes sexuels abaissés</w:t>
      </w:r>
    </w:p>
    <w:p>
      <w:pPr>
        <w:pStyle w:val="style179"/>
        <w:numPr>
          <w:ilvl w:val="2"/>
          <w:numId w:val="2"/>
        </w:numPr>
        <w:rPr>
          <w:lang w:val="fr-FR"/>
        </w:rPr>
      </w:pPr>
      <w:r>
        <w:rPr>
          <w:lang w:val="en-US"/>
        </w:rPr>
        <w:t>Œstrogènes et progestérone (fille)</w:t>
      </w:r>
    </w:p>
    <w:p>
      <w:pPr>
        <w:pStyle w:val="style179"/>
        <w:numPr>
          <w:ilvl w:val="2"/>
          <w:numId w:val="2"/>
        </w:numPr>
        <w:rPr>
          <w:lang w:val="fr-FR"/>
        </w:rPr>
      </w:pPr>
      <w:r>
        <w:rPr>
          <w:lang w:val="en-US"/>
        </w:rPr>
        <w:t>Testostérone (garçon)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IRM cérébrale : cause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Cause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Tumeur hypophysaire: adénome à prolactine ➡️ crâniopharyngiome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Insuffisance hypophysaire (panhypopituitarisme)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Syndrome de Kallman avec anosmie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Tumeur hypothalamo-hypophysaire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Déficit en gonadotrope syndromique (Laurence-Moon-Biedl, Prader-Willi...)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Autres</w:t>
      </w:r>
    </w:p>
    <w:p>
      <w:pPr>
        <w:pStyle w:val="style179"/>
        <w:numPr>
          <w:ilvl w:val="2"/>
          <w:numId w:val="2"/>
        </w:numPr>
        <w:rPr>
          <w:lang w:val="fr-FR"/>
        </w:rPr>
      </w:pPr>
      <w:r>
        <w:rPr>
          <w:lang w:val="en-US"/>
        </w:rPr>
        <w:t>Hypothyroïdie</w:t>
      </w:r>
    </w:p>
    <w:p>
      <w:pPr>
        <w:pStyle w:val="style179"/>
        <w:numPr>
          <w:ilvl w:val="2"/>
          <w:numId w:val="2"/>
        </w:numPr>
        <w:rPr>
          <w:lang w:val="fr-FR"/>
        </w:rPr>
      </w:pPr>
      <w:r>
        <w:rPr>
          <w:lang w:val="en-US"/>
        </w:rPr>
        <w:t>Insuffisance rénale</w:t>
      </w:r>
    </w:p>
    <w:p>
      <w:pPr>
        <w:pStyle w:val="style179"/>
        <w:numPr>
          <w:ilvl w:val="2"/>
          <w:numId w:val="2"/>
        </w:numPr>
        <w:rPr>
          <w:lang w:val="fr-FR"/>
        </w:rPr>
      </w:pPr>
      <w:r>
        <w:rPr>
          <w:lang w:val="en-US"/>
        </w:rPr>
        <w:t>Anorexie mentale</w:t>
      </w:r>
    </w:p>
    <w:p>
      <w:pPr>
        <w:pStyle w:val="style4"/>
        <w:rPr/>
      </w:pPr>
      <w:r>
        <w:t>Anomalie périphérique : hypogonadisme hypergonadotrope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Diagnostic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Anomalies primitives ou secondaires des gonades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FSH LH élevés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Stéroïdes sexuels abaissés</w:t>
      </w:r>
    </w:p>
    <w:p>
      <w:pPr>
        <w:pStyle w:val="style179"/>
        <w:numPr>
          <w:ilvl w:val="2"/>
          <w:numId w:val="2"/>
        </w:numPr>
        <w:rPr>
          <w:lang w:val="fr-FR"/>
        </w:rPr>
      </w:pPr>
      <w:r>
        <w:rPr>
          <w:lang w:val="en-US"/>
        </w:rPr>
        <w:t>Œstrogène et progestérone (fille)</w:t>
      </w:r>
    </w:p>
    <w:p>
      <w:pPr>
        <w:pStyle w:val="style179"/>
        <w:numPr>
          <w:ilvl w:val="2"/>
          <w:numId w:val="2"/>
        </w:numPr>
        <w:rPr>
          <w:lang w:val="fr-FR"/>
        </w:rPr>
      </w:pPr>
      <w:r>
        <w:rPr>
          <w:lang w:val="en-US"/>
        </w:rPr>
        <w:t>Testostérone (garçon)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Caryotype +++++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Cause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Anomalies chromosomiques</w:t>
      </w:r>
    </w:p>
    <w:p>
      <w:pPr>
        <w:pStyle w:val="style179"/>
        <w:numPr>
          <w:ilvl w:val="2"/>
          <w:numId w:val="2"/>
        </w:numPr>
        <w:rPr>
          <w:lang w:val="fr-FR"/>
        </w:rPr>
      </w:pPr>
      <w:r>
        <w:rPr>
          <w:lang w:val="en-US"/>
        </w:rPr>
        <w:t>Syndrome de TURNER (fille) : XO</w:t>
      </w:r>
    </w:p>
    <w:p>
      <w:pPr>
        <w:pStyle w:val="style179"/>
        <w:numPr>
          <w:ilvl w:val="2"/>
          <w:numId w:val="2"/>
        </w:numPr>
        <w:rPr>
          <w:lang w:val="fr-FR"/>
        </w:rPr>
      </w:pPr>
      <w:r>
        <w:rPr>
          <w:lang w:val="en-US"/>
        </w:rPr>
        <w:t>Syndrome de KLINEFELTER (garçon) : XXY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Anomalies gonadiques</w:t>
      </w:r>
    </w:p>
    <w:p>
      <w:pPr>
        <w:pStyle w:val="style179"/>
        <w:numPr>
          <w:ilvl w:val="2"/>
          <w:numId w:val="2"/>
        </w:numPr>
        <w:rPr>
          <w:lang w:val="fr-FR"/>
        </w:rPr>
      </w:pPr>
      <w:r>
        <w:rPr>
          <w:lang w:val="en-US"/>
        </w:rPr>
        <w:t>Dysgénésies gonadiques</w:t>
      </w:r>
    </w:p>
    <w:p>
      <w:pPr>
        <w:pStyle w:val="style179"/>
        <w:numPr>
          <w:ilvl w:val="2"/>
          <w:numId w:val="2"/>
        </w:numPr>
        <w:rPr>
          <w:lang w:val="fr-FR"/>
        </w:rPr>
      </w:pPr>
      <w:r>
        <w:rPr>
          <w:lang w:val="en-US"/>
        </w:rPr>
        <w:t>Lésions acquises : irradiation, chimiothérapie, chirurgie</w:t>
      </w:r>
    </w:p>
    <w:p>
      <w:pPr>
        <w:pStyle w:val="style5"/>
        <w:rPr/>
      </w:pPr>
      <w:r>
        <w:t>Syndrome de Turner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Diagnostic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Augmentation FSH et LH : 2 - 3 ans puis à partir de 10 - 11ans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Echographie rénale, cardiaque, pelvienne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Anticorps anti-microsomiaux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Caryotype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Traitement/supplémentation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Hormone de croissance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Thérapie ostrogénique à 12 ans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Quelque caractéristique clinique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Oreilles implantées bas, palais ogival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Mamelons écartés, cardiopathies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Malformations rénales, dysgénésie gonadique, anomalies osseuses, caryotype: anomalie chromosome X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1 / 2500F</w:t>
      </w:r>
    </w:p>
    <w:p>
      <w:pPr>
        <w:pStyle w:val="style5"/>
        <w:rPr/>
      </w:pPr>
      <w:r>
        <w:t>Syndrome de Klinefelter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Caryotype : 47 XXY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Incidence 1/500 à 1/1000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Puberté spontanée mais non progressive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Dysgénésie des tubules séminifères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Grande taille, eunuchoïdisme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Puberté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Testicules petits, gynécomastie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Infertilité fréquente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Intelligence limité, troubles du comportement</w:t>
      </w:r>
    </w:p>
    <w:p>
      <w:pPr>
        <w:pStyle w:val="style4"/>
        <w:rPr/>
      </w:pPr>
      <w:r>
        <w:t>Retard pubertaire simple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Absence de causes organiques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Antécédents familiaux de retard pubertaire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Absence de cassure (courbe de croissance)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Age osseux :  &lt; 13 ans (garçons) et &lt; 11ans fille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Axe hypothalamo-hypophysaire toujours en état de quiescence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Diagnostic d'élimination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Pronostic bon</w:t>
      </w:r>
    </w:p>
    <w:p>
      <w:pPr>
        <w:pStyle w:val="style1"/>
        <w:rPr/>
      </w:pPr>
      <w:r>
        <w:t>Conclusion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Puberté : étape importante dans la vie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Bouleversement somatique, physiologique, et psychologique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Accompagnement familial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Anomalies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Histoire</w:t>
      </w:r>
    </w:p>
    <w:p>
      <w:pPr>
        <w:pStyle w:val="style179"/>
        <w:numPr>
          <w:ilvl w:val="2"/>
          <w:numId w:val="2"/>
        </w:numPr>
        <w:rPr>
          <w:lang w:val="fr-FR"/>
        </w:rPr>
      </w:pPr>
      <w:r>
        <w:rPr>
          <w:lang w:val="en-US"/>
        </w:rPr>
        <w:t>Famille</w:t>
      </w:r>
    </w:p>
    <w:p>
      <w:pPr>
        <w:pStyle w:val="style179"/>
        <w:numPr>
          <w:ilvl w:val="2"/>
          <w:numId w:val="2"/>
        </w:numPr>
        <w:rPr>
          <w:lang w:val="fr-FR"/>
        </w:rPr>
      </w:pPr>
      <w:r>
        <w:rPr>
          <w:lang w:val="en-US"/>
        </w:rPr>
        <w:t>Grossesse accouchement</w:t>
      </w:r>
    </w:p>
    <w:p>
      <w:pPr>
        <w:pStyle w:val="style179"/>
        <w:numPr>
          <w:ilvl w:val="2"/>
          <w:numId w:val="2"/>
        </w:numPr>
        <w:rPr>
          <w:lang w:val="fr-FR"/>
        </w:rPr>
      </w:pPr>
      <w:r>
        <w:rPr>
          <w:lang w:val="en-US"/>
        </w:rPr>
        <w:t>Petite enfance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Examen complet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Consultation spécialisée</w:t>
      </w:r>
    </w:p>
    <w:sectPr>
      <w:headerReference w:type="default" r:id="rId2"/>
      <w:footerReference w:type="default" r:id="rId3"/>
      <w:pgSz w:w="11906" w:h="16838" w:orient="portrait"/>
      <w:pgMar w:top="284" w:right="851" w:bottom="28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3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0002AFF" w:usb1="4000ACFF" w:usb2="00000001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A00002EF" w:usb1="4000004B" w:usb2="0000000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>
        <w:lang w:val="fr-FR"/>
      </w:rPr>
    </w:pPr>
    <w:r>
      <w:rPr>
        <w:noProof/>
        <w:color w:val="808080"/>
      </w:rPr>
      <mc:AlternateContent>
        <mc:Choice Requires="wpg">
          <w:drawing>
            <wp:anchor distT="0" distB="0" distL="0" distR="0" simplePos="false" relativeHeight="3" behindDoc="false" locked="false" layoutInCell="true" allowOverlap="true">
              <wp:simplePos x="0" y="0"/>
              <wp:positionH relativeFrom="margin">
                <wp:align>right</wp:align>
              </wp:positionH>
              <wp:positionV relativeFrom="bottomMargin">
                <wp14:pctPosVOffset>20000</wp14:pctPosVOffset>
              </wp:positionV>
              <wp:extent cx="5943600" cy="320040"/>
              <wp:effectExtent l="0" t="0" r="0" b="3810"/>
              <wp:wrapSquare wrapText="bothSides"/>
              <wp:docPr id="4097" name="Groupe 37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0"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SpPr/>
                      <wps:spPr>
                        <a:xfrm rot="0">
                          <a:off x="19050" y="0"/>
                          <a:ext cx="5943600" cy="18826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>
                        <a:prstTxWarp prst="textNoShape"/>
                      </wps:bodyPr>
                    </wps:wsp>
                    <wps:wsp>
                      <wps:cNvSpPr/>
                      <wps:spPr>
                        <a:xfrm rot="0">
                          <a:off x="0" y="66676"/>
                          <a:ext cx="5943599" cy="257175"/>
                        </a:xfrm>
                        <a:prstGeom prst="rect"/>
                        <a:ln>
                          <a:noFill/>
                        </a:ln>
                      </wps:spPr>
                      <wps:txbx id="4099">
                        <w:txbxContent>
                          <w:p>
                            <w:pPr>
                              <w:pStyle w:val="style0"/>
                              <w:jc w:val="right"/>
                              <w:rPr>
                                <w:rFonts w:cs="Times New Roman"/>
                                <w:b/>
                                <w:color w:val="7f7f7f"/>
                                <w:lang w:val="fr-FR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color w:val="7f7f7f"/>
                                <w:lang w:val="fr-FR"/>
                              </w:rPr>
                              <w:t>Falitiana RAFANOMEZANTSOA</w:t>
                            </w:r>
                          </w:p>
                        </w:txbxContent>
                      </wps:txbx>
                      <wps:bodyPr lIns="91440" rIns="91440" tIns="45720" bIns="0" vert="horz" anchor="b" wrap="square">
                        <a:prstTxWarp prst="textNoShape"/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4097" filled="f" stroked="f" style="position:absolute;margin-left:0.0pt;margin-top:0.0pt;width:468.0pt;height:25.2pt;z-index:3;mso-top-percent:200;mso-position-horizontal:right;mso-position-horizontal-relative:margin;mso-position-vertical-relative:bottom-margin-area;mso-width-percent:1000;mso-height-percent:0;mso-width-relative:margin;mso-height-relative:margin;mso-wrap-distance-left:0.0pt;mso-wrap-distance-right:0.0pt;visibility:visible;" coordsize="5962650,323851">
              <v:rect id="4098" fillcolor="black" stroked="f" style="position:absolute;left:19050;top:0;width:5943600;height:18826;z-index:2;mso-position-horizontal-relative:page;mso-position-vertical-relative:page;mso-width-relative:page;mso-height-relative:page;visibility:visible;">
                <v:stroke on="f" color="#395e8a" weight="2.0pt"/>
                <v:fill/>
              </v:rect>
              <v:rect id="4099" filled="f" stroked="f" style="position:absolute;left:0;top:66676;width:5943599;height:257175;z-index:3;mso-position-horizontal-relative:page;mso-position-vertical-relative:page;mso-width-relative:page;mso-height-relative:page;visibility:visible;v-text-anchor:bottom;">
                <v:stroke on="f" weight="0.5pt"/>
                <v:fill/>
                <v:textbox inset="7.2pt,3.6pt,7.2pt,0.0pt">
                  <w:txbxContent>
                    <w:p>
                      <w:pPr>
                        <w:pStyle w:val="style0"/>
                        <w:jc w:val="right"/>
                        <w:rPr>
                          <w:rFonts w:cs="Times New Roman"/>
                          <w:b/>
                          <w:color w:val="7f7f7f"/>
                          <w:lang w:val="fr-FR"/>
                        </w:rPr>
                      </w:pPr>
                      <w:r>
                        <w:rPr>
                          <w:rFonts w:cs="Times New Roman"/>
                          <w:b/>
                          <w:color w:val="7f7f7f"/>
                          <w:lang w:val="fr-FR"/>
                        </w:rPr>
                        <w:t>Falitiana RAFANOMEZANTSOA</w:t>
                      </w:r>
                    </w:p>
                  </w:txbxContent>
                </v:textbox>
              </v:rect>
              <w10:wrap type="square"/>
              <v:fill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false" relativeHeight="2" behindDoc="false" locked="false" layoutInCell="true" allowOverlap="true">
              <wp:simplePos x="0" y="0"/>
              <wp:positionH relativeFrom="rightMargin">
                <wp:align>left</wp:align>
              </wp:positionH>
              <wp:positionV relativeFrom="bottomMargin">
                <wp14:pctPosVOffset>20000</wp14:pctPosVOffset>
              </wp:positionV>
              <wp:extent cx="457200" cy="320040"/>
              <wp:effectExtent l="0" t="0" r="0" b="3810"/>
              <wp:wrapSquare wrapText="bothSides"/>
              <wp:docPr id="4100" name="Rectangle 40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457200" cy="320040"/>
                      </a:xfrm>
                      <a:prstGeom prst="rect"/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 id="4100">
                      <w:txbxContent>
                        <w:p>
                          <w:pPr>
                            <w:pStyle w:val="style0"/>
                            <w:jc w:val="center"/>
                            <w:rPr>
                              <w:color w:val="ffffff"/>
                            </w:rPr>
                          </w:pPr>
                          <w:r>
                            <w:rPr>
                              <w:color w:val="ffffff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</w:rPr>
                            <w:instrText>PAGE   \* MERGEFORMAT</w:instrText>
                          </w:r>
                          <w:r>
                            <w:rPr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lang w:val="fr-FR"/>
                            </w:rPr>
                            <w:t>2</w:t>
                          </w:r>
                          <w:r>
                            <w:rPr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lIns="91440" rIns="91440" tIns="45720" bIns="45720" vert="horz" anchor="b" wrap="square">
                      <a:prstTxWarp prst="textNoShape"/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4100" fillcolor="black" stroked="f" style="position:absolute;margin-left:0.0pt;margin-top:0.0pt;width:36.0pt;height:25.2pt;z-index:2;mso-top-percent:200;mso-position-horizontal:left;mso-position-horizontal-relative:right-margin-area;mso-position-vertical-relative:bottom-margin-area;mso-width-percent:0;mso-height-percent:0;mso-width-relative:margin;mso-height-relative:margin;mso-wrap-distance-left:0.0pt;mso-wrap-distance-right:0.0pt;visibility:visible;v-text-anchor:bottom;">
              <v:stroke on="f" color="#395e8a" weight="3.0pt"/>
              <w10:wrap type="square"/>
              <v:fill/>
              <v:textbox inset="7.2pt,3.6pt,7.2pt,3.6pt">
                <w:txbxContent>
                  <w:p>
                    <w:pPr>
                      <w:pStyle w:val="style0"/>
                      <w:jc w:val="center"/>
                      <w:rPr>
                        <w:color w:val="ffffff"/>
                      </w:rPr>
                    </w:pPr>
                    <w:r>
                      <w:rPr>
                        <w:color w:val="ffffff"/>
                      </w:rPr>
                      <w:fldChar w:fldCharType="begin"/>
                    </w:r>
                    <w:r>
                      <w:rPr>
                        <w:color w:val="ffffff"/>
                      </w:rPr>
                      <w:instrText>PAGE   \* MERGEFORMAT</w:instrText>
                    </w:r>
                    <w:r>
                      <w:rPr>
                        <w:color w:val="ffffff"/>
                      </w:rPr>
                      <w:fldChar w:fldCharType="separate"/>
                    </w:r>
                    <w:r>
                      <w:rPr>
                        <w:color w:val="ffffff"/>
                        <w:lang w:val="fr-FR"/>
                      </w:rPr>
                      <w:t>2</w:t>
                    </w:r>
                    <w:r>
                      <w:rPr>
                        <w:color w:val="ffffff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footnote w:id="1">
    <w:p>
      <w:pPr>
        <w:pStyle w:val="style29"/>
        <w:rPr/>
      </w:pPr>
      <w:r>
        <w:rPr>
          <w:rStyle w:val="style38"/>
        </w:rPr>
        <w:footnoteRef/>
      </w:r>
      <w:r>
        <w:t xml:space="preserve"> </w:t>
      </w:r>
      <w:r>
        <w:rPr>
          <w:lang w:val="en-US"/>
        </w:rPr>
        <w:t>La puberté est différent de l’adolescence, la puberté concerne plutôt le plan clinique tandis que l’adolescence est plutôt socio-culturel</w:t>
      </w:r>
    </w:p>
  </w:footnote>
  <w:footnote w:id="2">
    <w:p>
      <w:pPr>
        <w:pStyle w:val="style29"/>
        <w:rPr/>
      </w:pPr>
      <w:r>
        <w:rPr>
          <w:rStyle w:val="style38"/>
        </w:rPr>
        <w:footnoteRef/>
      </w:r>
      <w:r>
        <w:t xml:space="preserve"> </w:t>
      </w:r>
      <w:r>
        <w:rPr>
          <w:lang w:val="en-US"/>
        </w:rPr>
        <w:t>Diamètre bi-trochantérien</w:t>
      </w:r>
    </w:p>
  </w:footnote>
</w:footnote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jc w:val="right"/>
      <w:rPr>
        <w:b/>
        <w:color w:val="808080"/>
        <w:lang w:val="fr-FR"/>
      </w:rPr>
    </w:pPr>
    <w:r>
      <w:rPr>
        <w:b/>
        <w:noProof/>
        <w:color w:val="808080"/>
        <w:lang w:val="en-US"/>
      </w:rPr>
      <w:t xml:space="preserve">Gynéco-obstétrique du 09 Juillet </w:t>
    </w:r>
    <w:r>
      <w:rPr>
        <w:b/>
        <w:noProof/>
        <w:color w:val="808080"/>
        <w:lang w:val="fr-FR"/>
      </w:rPr>
      <w:t>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EBE44F76"/>
    <w:lvl w:ilvl="0">
      <w:start w:val="1"/>
      <w:numFmt w:val="upperRoman"/>
      <w:pStyle w:val="style1"/>
      <w:lvlText w:val="%1."/>
      <w:lvlJc w:val="right"/>
      <w:pPr>
        <w:ind w:left="360" w:hanging="360"/>
      </w:pPr>
    </w:lvl>
    <w:lvl w:ilvl="1">
      <w:start w:val="1"/>
      <w:numFmt w:val="decimal"/>
      <w:pStyle w:val="style2"/>
      <w:lvlText w:val="%1.%2"/>
      <w:lvlJc w:val="left"/>
      <w:pPr>
        <w:ind w:left="576" w:hanging="576"/>
      </w:pPr>
    </w:lvl>
    <w:lvl w:ilvl="2">
      <w:start w:val="1"/>
      <w:numFmt w:val="decimal"/>
      <w:pStyle w:val="style3"/>
      <w:lvlText w:val="%1.%2.%3"/>
      <w:lvlJc w:val="left"/>
      <w:pPr>
        <w:ind w:left="720" w:hanging="720"/>
      </w:pPr>
    </w:lvl>
    <w:lvl w:ilvl="3">
      <w:start w:val="1"/>
      <w:numFmt w:val="decimal"/>
      <w:pStyle w:val="style4"/>
      <w:lvlText w:val="%1.%2.%3.%4"/>
      <w:lvlJc w:val="left"/>
      <w:pPr>
        <w:ind w:left="864" w:hanging="864"/>
      </w:pPr>
    </w:lvl>
    <w:lvl w:ilvl="4">
      <w:start w:val="1"/>
      <w:numFmt w:val="decimal"/>
      <w:pStyle w:val="style5"/>
      <w:lvlText w:val="%1.%2.%3.%4.%5"/>
      <w:lvlJc w:val="left"/>
      <w:pPr>
        <w:ind w:left="1008" w:hanging="1008"/>
      </w:pPr>
    </w:lvl>
    <w:lvl w:ilvl="5">
      <w:start w:val="1"/>
      <w:numFmt w:val="decimal"/>
      <w:pStyle w:val="style6"/>
      <w:lvlText w:val="%1.%2.%3.%4.%5.%6"/>
      <w:lvlJc w:val="left"/>
      <w:pPr>
        <w:ind w:left="1152" w:hanging="1152"/>
      </w:pPr>
    </w:lvl>
    <w:lvl w:ilvl="6">
      <w:start w:val="1"/>
      <w:numFmt w:val="decimal"/>
      <w:pStyle w:val="styl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styl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style9"/>
      <w:lvlText w:val="%1.%2.%3.%4.%5.%6.%7.%8.%9"/>
      <w:lvlJc w:val="left"/>
      <w:pPr>
        <w:ind w:left="1584" w:hanging="1584"/>
      </w:pPr>
    </w:lvl>
  </w:abstractNum>
  <w:abstractNum w:abstractNumId="1">
    <w:nsid w:val="00000001"/>
    <w:multiLevelType w:val="hybridMultilevel"/>
    <w:tmpl w:val="21227E48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200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bidi="ar-SA" w:eastAsia="en-US"/>
      </w:rPr>
    </w:rPrDefault>
    <w:pPrDefault>
      <w:pPr>
        <w:spacing w:lineRule="auto" w:line="360"/>
      </w:pPr>
    </w:pPrDefault>
  </w:docDefaults>
  <w:style w:type="paragraph" w:default="1" w:styleId="style0">
    <w:name w:val="Normal"/>
    <w:next w:val="style0"/>
    <w:qFormat/>
    <w:pPr/>
    <w:rPr>
      <w:rFonts w:ascii="Times New Roman" w:hAnsi="Times New Roman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numPr>
        <w:ilvl w:val="0"/>
        <w:numId w:val="1"/>
      </w:numPr>
      <w:spacing w:before="240"/>
      <w:outlineLvl w:val="0"/>
    </w:pPr>
    <w:rPr>
      <w:rFonts w:cs="宋体" w:eastAsia="宋体"/>
      <w:b/>
      <w:smallCaps/>
      <w:color w:val="800000"/>
      <w:sz w:val="32"/>
      <w:szCs w:val="32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numPr>
        <w:ilvl w:val="1"/>
        <w:numId w:val="1"/>
      </w:numPr>
      <w:spacing w:before="40"/>
      <w:outlineLvl w:val="1"/>
    </w:pPr>
    <w:rPr>
      <w:rFonts w:cs="宋体" w:eastAsia="宋体"/>
      <w:b/>
      <w:smallCaps/>
      <w:color w:val="008000"/>
      <w:sz w:val="28"/>
      <w:szCs w:val="28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numPr>
        <w:ilvl w:val="2"/>
        <w:numId w:val="1"/>
      </w:numPr>
      <w:spacing w:before="40"/>
      <w:outlineLvl w:val="2"/>
    </w:pPr>
    <w:rPr>
      <w:rFonts w:cs="宋体" w:eastAsia="宋体"/>
      <w:b/>
      <w:color w:val="002060"/>
      <w:sz w:val="26"/>
      <w:szCs w:val="24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numPr>
        <w:ilvl w:val="3"/>
        <w:numId w:val="1"/>
      </w:numPr>
      <w:spacing w:before="40"/>
      <w:outlineLvl w:val="3"/>
    </w:pPr>
    <w:rPr>
      <w:rFonts w:cs="宋体" w:eastAsia="宋体"/>
      <w:b/>
      <w:iCs/>
      <w:color w:val="c00000"/>
      <w:sz w:val="24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numPr>
        <w:ilvl w:val="4"/>
        <w:numId w:val="1"/>
      </w:numPr>
      <w:spacing w:before="40"/>
      <w:outlineLvl w:val="4"/>
    </w:pPr>
    <w:rPr>
      <w:rFonts w:cs="宋体" w:eastAsia="宋体"/>
      <w:b/>
      <w:color w:val="660066"/>
      <w:sz w:val="24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numPr>
        <w:ilvl w:val="5"/>
        <w:numId w:val="1"/>
      </w:numPr>
      <w:spacing w:before="40"/>
      <w:outlineLvl w:val="5"/>
    </w:pPr>
    <w:rPr>
      <w:rFonts w:cs="宋体" w:eastAsia="宋体"/>
      <w:b/>
      <w:sz w:val="24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numPr>
        <w:ilvl w:val="6"/>
        <w:numId w:val="1"/>
      </w:numPr>
      <w:spacing w:before="40"/>
      <w:outlineLvl w:val="6"/>
    </w:pPr>
    <w:rPr>
      <w:rFonts w:ascii="Cambria" w:cs="宋体" w:eastAsia="宋体" w:hAnsi="Cambria"/>
      <w:i/>
      <w:iCs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numPr>
        <w:ilvl w:val="7"/>
        <w:numId w:val="1"/>
      </w:numPr>
      <w:spacing w:before="40"/>
      <w:outlineLvl w:val="7"/>
    </w:pPr>
    <w:rPr>
      <w:rFonts w:ascii="Cambria" w:cs="宋体" w:eastAsia="宋体" w:hAnsi="Cambria"/>
      <w:color w:val="262626"/>
      <w:sz w:val="21"/>
      <w:szCs w:val="21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numPr>
        <w:ilvl w:val="8"/>
        <w:numId w:val="1"/>
      </w:numPr>
      <w:spacing w:before="40"/>
      <w:outlineLvl w:val="8"/>
    </w:pPr>
    <w:rPr>
      <w:rFonts w:ascii="Cambria" w:cs="宋体" w:eastAsia="宋体" w:hAnsi="Cambria"/>
      <w:i/>
      <w:iCs/>
      <w:color w:val="262626"/>
      <w:sz w:val="21"/>
      <w:szCs w:val="21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Titre 1 Car"/>
    <w:basedOn w:val="style65"/>
    <w:next w:val="style4097"/>
    <w:link w:val="style1"/>
    <w:uiPriority w:val="9"/>
    <w:rPr>
      <w:rFonts w:ascii="Times New Roman" w:cs="宋体" w:eastAsia="宋体" w:hAnsi="Times New Roman"/>
      <w:b/>
      <w:smallCaps/>
      <w:color w:val="800000"/>
      <w:sz w:val="32"/>
      <w:szCs w:val="32"/>
    </w:rPr>
  </w:style>
  <w:style w:type="character" w:customStyle="1" w:styleId="style4098">
    <w:name w:val="Titre 2 Car"/>
    <w:basedOn w:val="style65"/>
    <w:next w:val="style4098"/>
    <w:link w:val="style2"/>
    <w:uiPriority w:val="9"/>
    <w:rPr>
      <w:rFonts w:ascii="Times New Roman" w:cs="宋体" w:eastAsia="宋体" w:hAnsi="Times New Roman"/>
      <w:b/>
      <w:smallCaps/>
      <w:color w:val="008000"/>
      <w:sz w:val="28"/>
      <w:szCs w:val="28"/>
    </w:rPr>
  </w:style>
  <w:style w:type="character" w:customStyle="1" w:styleId="style4099">
    <w:name w:val="Titre 3 Car"/>
    <w:basedOn w:val="style65"/>
    <w:next w:val="style4099"/>
    <w:link w:val="style3"/>
    <w:uiPriority w:val="9"/>
    <w:rPr>
      <w:rFonts w:ascii="Times New Roman" w:cs="宋体" w:eastAsia="宋体" w:hAnsi="Times New Roman"/>
      <w:b/>
      <w:color w:val="002060"/>
      <w:sz w:val="26"/>
      <w:szCs w:val="24"/>
    </w:rPr>
  </w:style>
  <w:style w:type="character" w:customStyle="1" w:styleId="style4100">
    <w:name w:val="Titre 4 Car"/>
    <w:basedOn w:val="style65"/>
    <w:next w:val="style4100"/>
    <w:link w:val="style4"/>
    <w:uiPriority w:val="9"/>
    <w:rPr>
      <w:rFonts w:ascii="Times New Roman" w:cs="宋体" w:eastAsia="宋体" w:hAnsi="Times New Roman"/>
      <w:b/>
      <w:iCs/>
      <w:color w:val="c00000"/>
      <w:sz w:val="24"/>
    </w:rPr>
  </w:style>
  <w:style w:type="character" w:customStyle="1" w:styleId="style4101">
    <w:name w:val="Titre 5 Car"/>
    <w:basedOn w:val="style65"/>
    <w:next w:val="style4101"/>
    <w:link w:val="style5"/>
    <w:uiPriority w:val="9"/>
    <w:rPr>
      <w:rFonts w:ascii="Times New Roman" w:cs="宋体" w:eastAsia="宋体" w:hAnsi="Times New Roman"/>
      <w:b/>
      <w:color w:val="660066"/>
      <w:sz w:val="24"/>
    </w:rPr>
  </w:style>
  <w:style w:type="character" w:customStyle="1" w:styleId="style4102">
    <w:name w:val="Titre 6 Car"/>
    <w:basedOn w:val="style65"/>
    <w:next w:val="style4102"/>
    <w:link w:val="style6"/>
    <w:uiPriority w:val="9"/>
    <w:rPr>
      <w:rFonts w:ascii="Times New Roman" w:cs="宋体" w:eastAsia="宋体" w:hAnsi="Times New Roman"/>
      <w:b/>
      <w:sz w:val="24"/>
    </w:rPr>
  </w:style>
  <w:style w:type="character" w:customStyle="1" w:styleId="style4103">
    <w:name w:val="Titre 7 Car"/>
    <w:basedOn w:val="style65"/>
    <w:next w:val="style4103"/>
    <w:link w:val="style7"/>
    <w:uiPriority w:val="9"/>
    <w:rPr>
      <w:rFonts w:ascii="Cambria" w:cs="宋体" w:eastAsia="宋体" w:hAnsi="Cambria"/>
      <w:i/>
      <w:iCs/>
    </w:rPr>
  </w:style>
  <w:style w:type="character" w:customStyle="1" w:styleId="style4104">
    <w:name w:val="Titre 8 Car"/>
    <w:basedOn w:val="style65"/>
    <w:next w:val="style4104"/>
    <w:link w:val="style8"/>
    <w:uiPriority w:val="9"/>
    <w:rPr>
      <w:rFonts w:ascii="Cambria" w:cs="宋体" w:eastAsia="宋体" w:hAnsi="Cambria"/>
      <w:color w:val="262626"/>
      <w:sz w:val="21"/>
      <w:szCs w:val="21"/>
    </w:rPr>
  </w:style>
  <w:style w:type="character" w:customStyle="1" w:styleId="style4105">
    <w:name w:val="Titre 9 Car"/>
    <w:basedOn w:val="style65"/>
    <w:next w:val="style4105"/>
    <w:link w:val="style9"/>
    <w:uiPriority w:val="9"/>
    <w:rPr>
      <w:rFonts w:ascii="Cambria" w:cs="宋体" w:eastAsia="宋体" w:hAnsi="Cambria"/>
      <w:i/>
      <w:iCs/>
      <w:color w:val="262626"/>
      <w:sz w:val="21"/>
      <w:szCs w:val="21"/>
    </w:rPr>
  </w:style>
  <w:style w:type="paragraph" w:styleId="style34">
    <w:name w:val="caption"/>
    <w:basedOn w:val="style0"/>
    <w:next w:val="style0"/>
    <w:qFormat/>
    <w:uiPriority w:val="35"/>
    <w:pPr>
      <w:spacing w:after="200" w:lineRule="auto" w:line="240"/>
    </w:pPr>
    <w:rPr>
      <w:i/>
      <w:iCs/>
      <w:color w:val="1f497d"/>
      <w:sz w:val="18"/>
      <w:szCs w:val="18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lineRule="auto" w:line="240"/>
      <w:jc w:val="center"/>
      <w:contextualSpacing/>
    </w:pPr>
    <w:rPr>
      <w:rFonts w:ascii="Cambria" w:cs="宋体" w:eastAsia="宋体" w:hAnsi="Cambria"/>
      <w:color w:val="002060"/>
      <w:spacing w:val="-10"/>
      <w:sz w:val="48"/>
      <w:szCs w:val="56"/>
      <w:lang w:val="fr-FR"/>
    </w:rPr>
  </w:style>
  <w:style w:type="character" w:customStyle="1" w:styleId="style4106">
    <w:name w:val="Titre Car"/>
    <w:basedOn w:val="style65"/>
    <w:next w:val="style4106"/>
    <w:link w:val="style62"/>
    <w:uiPriority w:val="10"/>
    <w:rPr>
      <w:rFonts w:ascii="Cambria" w:cs="宋体" w:eastAsia="宋体" w:hAnsi="Cambria"/>
      <w:color w:val="002060"/>
      <w:spacing w:val="-10"/>
      <w:sz w:val="48"/>
      <w:szCs w:val="56"/>
      <w:lang w:val="fr-FR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ascii="Calibri" w:hAnsi="Calibri"/>
      <w:color w:val="5a5a5a"/>
      <w:spacing w:val="15"/>
    </w:rPr>
  </w:style>
  <w:style w:type="character" w:customStyle="1" w:styleId="style4107">
    <w:name w:val="Sous-titre Car"/>
    <w:basedOn w:val="style65"/>
    <w:next w:val="style4107"/>
    <w:link w:val="style74"/>
    <w:uiPriority w:val="11"/>
    <w:rPr>
      <w:color w:val="5a5a5a"/>
      <w:spacing w:val="15"/>
    </w:rPr>
  </w:style>
  <w:style w:type="character" w:styleId="style87">
    <w:name w:val="Strong"/>
    <w:basedOn w:val="style65"/>
    <w:next w:val="style87"/>
    <w:qFormat/>
    <w:uiPriority w:val="22"/>
    <w:rPr>
      <w:b/>
      <w:bCs/>
      <w:color w:val="auto"/>
    </w:rPr>
  </w:style>
  <w:style w:type="character" w:styleId="style88">
    <w:name w:val="Emphasis"/>
    <w:basedOn w:val="style65"/>
    <w:next w:val="style88"/>
    <w:qFormat/>
    <w:uiPriority w:val="20"/>
    <w:rPr>
      <w:i/>
      <w:iCs/>
      <w:color w:val="auto"/>
    </w:rPr>
  </w:style>
  <w:style w:type="paragraph" w:styleId="style157">
    <w:name w:val="No Spacing"/>
    <w:next w:val="style157"/>
    <w:link w:val="style4110"/>
    <w:qFormat/>
    <w:uiPriority w:val="1"/>
    <w:pPr>
      <w:spacing w:lineRule="auto" w:line="240"/>
    </w:pPr>
    <w:r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80">
    <w:name w:val="Quote"/>
    <w:basedOn w:val="style0"/>
    <w:next w:val="style0"/>
    <w:link w:val="style4108"/>
    <w:qFormat/>
    <w:uiPriority w:val="29"/>
    <w:pPr>
      <w:spacing w:before="200"/>
      <w:ind w:left="864" w:right="864"/>
    </w:pPr>
    <w:rPr>
      <w:rFonts w:ascii="Calibri" w:hAnsi="Calibri"/>
      <w:i/>
      <w:iCs/>
      <w:color w:val="404040"/>
    </w:rPr>
  </w:style>
  <w:style w:type="character" w:customStyle="1" w:styleId="style4108">
    <w:name w:val="Citation Car"/>
    <w:basedOn w:val="style65"/>
    <w:next w:val="style4108"/>
    <w:link w:val="style180"/>
    <w:uiPriority w:val="29"/>
    <w:rPr>
      <w:i/>
      <w:iCs/>
      <w:color w:val="404040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404040"/>
        <w:bottom w:val="single" w:sz="4" w:space="10" w:color="404040"/>
      </w:pBdr>
      <w:spacing w:before="360" w:after="360"/>
      <w:ind w:left="864" w:right="864"/>
      <w:jc w:val="center"/>
    </w:pPr>
    <w:rPr>
      <w:rFonts w:ascii="Calibri" w:hAnsi="Calibri"/>
      <w:i/>
      <w:iCs/>
      <w:color w:val="404040"/>
    </w:rPr>
  </w:style>
  <w:style w:type="character" w:customStyle="1" w:styleId="style4109">
    <w:name w:val="Citation intense Car"/>
    <w:basedOn w:val="style65"/>
    <w:next w:val="style4109"/>
    <w:link w:val="style181"/>
    <w:uiPriority w:val="30"/>
    <w:rPr>
      <w:i/>
      <w:iCs/>
      <w:color w:val="404040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40404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auto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404040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404040"/>
      <w:spacing w:val="5"/>
    </w:rPr>
  </w:style>
  <w:style w:type="character" w:styleId="style264">
    <w:name w:val="Book Title"/>
    <w:basedOn w:val="style65"/>
    <w:next w:val="style264"/>
    <w:qFormat/>
    <w:uiPriority w:val="33"/>
    <w:rPr>
      <w:b/>
      <w:bCs/>
      <w:i/>
      <w:iC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paragraph" w:styleId="style19">
    <w:name w:val="toc 1"/>
    <w:basedOn w:val="style0"/>
    <w:next w:val="style0"/>
    <w:uiPriority w:val="39"/>
    <w:pPr>
      <w:spacing w:after="100"/>
    </w:pPr>
    <w:rPr>
      <w:color w:val="c00000"/>
    </w:rPr>
  </w:style>
  <w:style w:type="character" w:customStyle="1" w:styleId="style4110">
    <w:name w:val="Sans interligne Car"/>
    <w:next w:val="style4110"/>
    <w:link w:val="style157"/>
    <w:uiPriority w:val="1"/>
  </w:style>
  <w:style w:type="paragraph" w:styleId="style31">
    <w:name w:val="header"/>
    <w:basedOn w:val="style0"/>
    <w:next w:val="style31"/>
    <w:link w:val="style4111"/>
    <w:uiPriority w:val="99"/>
    <w:pPr>
      <w:tabs>
        <w:tab w:val="center" w:leader="none" w:pos="4536"/>
        <w:tab w:val="right" w:leader="none" w:pos="9072"/>
      </w:tabs>
      <w:spacing w:lineRule="auto" w:line="240"/>
    </w:pPr>
    <w:rPr/>
  </w:style>
  <w:style w:type="character" w:customStyle="1" w:styleId="style4111">
    <w:name w:val="En-tête Car"/>
    <w:basedOn w:val="style65"/>
    <w:next w:val="style4111"/>
    <w:link w:val="style31"/>
    <w:uiPriority w:val="99"/>
  </w:style>
  <w:style w:type="paragraph" w:styleId="style32">
    <w:name w:val="footer"/>
    <w:basedOn w:val="style0"/>
    <w:next w:val="style32"/>
    <w:link w:val="style4112"/>
    <w:uiPriority w:val="99"/>
    <w:pPr>
      <w:tabs>
        <w:tab w:val="center" w:leader="none" w:pos="4536"/>
        <w:tab w:val="right" w:leader="none" w:pos="9072"/>
      </w:tabs>
      <w:spacing w:lineRule="auto" w:line="240"/>
    </w:pPr>
    <w:rPr/>
  </w:style>
  <w:style w:type="character" w:customStyle="1" w:styleId="style4112">
    <w:name w:val="Pied de page Car"/>
    <w:basedOn w:val="style65"/>
    <w:next w:val="style4112"/>
    <w:link w:val="style32"/>
    <w:uiPriority w:val="99"/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character" w:styleId="style38">
    <w:name w:val="footnote reference"/>
    <w:basedOn w:val="style65"/>
    <w:next w:val="style0"/>
    <w:uiPriority w:val="99"/>
    <w:rPr>
      <w:vertAlign w:val="superscript"/>
    </w:rPr>
  </w:style>
  <w:style w:type="paragraph" w:styleId="style29">
    <w:name w:val="footnote text"/>
    <w:basedOn w:val="style0"/>
    <w:next w:val="style0"/>
    <w:link w:val="style38"/>
    <w:uiPriority w:val="99"/>
    <w:pPr>
      <w:snapToGrid w:val="false"/>
      <w:jc w:val="left"/>
    </w:pPr>
    <w:rPr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Falitiana RAFANOMEZANTSOA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Words>1383</Words>
  <Pages>1</Pages>
  <Characters>8525</Characters>
  <Application>WPS Office</Application>
  <DocSecurity>0</DocSecurity>
  <Paragraphs>329</Paragraphs>
  <ScaleCrop>false</ScaleCrop>
  <LinksUpToDate>false</LinksUpToDate>
  <CharactersWithSpaces>9626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2025-06-07T01:39:00Z</dcterms:created>
  <dc:creator>RAFANOMEZANTSOA</dc:creator>
  <lastModifiedBy>Redmi Note 7 Pro</lastModifiedBy>
  <dcterms:modified xsi:type="dcterms:W3CDTF">2025-07-09T14:20:20Z</dcterms:modified>
  <revision>10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3acf294127454e8695846c73c3ec0d40</vt:lpwstr>
  </property>
</Properties>
</file>