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Surveillance de la grossesse</w:t>
      </w:r>
    </w:p>
    <w:p>
      <w:pPr>
        <w:pStyle w:val="style0"/>
        <w:rPr>
          <w:color w:val="ff0000"/>
          <w:lang w:val="fr-FR"/>
        </w:rPr>
      </w:pPr>
      <w:r>
        <w:rPr>
          <w:color w:val="ff0000"/>
          <w:lang w:val="fr-FR"/>
        </w:rPr>
        <w:t>Objectifs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fr-FR"/>
        </w:rPr>
        <w:t>Citer les buts de la 1</w:t>
      </w:r>
      <w:r>
        <w:rPr>
          <w:vertAlign w:val="superscript"/>
          <w:lang w:val="fr-FR"/>
        </w:rPr>
        <w:t>ère</w:t>
      </w:r>
      <w:r>
        <w:rPr>
          <w:lang w:val="fr-FR"/>
        </w:rPr>
        <w:t xml:space="preserve"> consultations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fr-FR"/>
        </w:rPr>
        <w:t>Citer les éléments de surveillance à la première consultation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fr-FR"/>
        </w:rPr>
        <w:t>Enumérer les éléments de surveillance lors du T2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fr-FR"/>
        </w:rPr>
        <w:t>Enumérer les éléments de surveillance lors du T3</w:t>
      </w:r>
    </w:p>
    <w:p>
      <w:pPr>
        <w:pStyle w:val="style1"/>
        <w:rPr>
          <w:lang w:val="fr-FR"/>
        </w:rPr>
      </w:pPr>
      <w:r>
        <w:rPr>
          <w:lang w:val="fr-FR"/>
        </w:rPr>
        <w:t xml:space="preserve">Introduction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Grossesse : situation physiologique aboutissant dans la majorité des cas à une naissance sans complication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Objectifs de la surveillance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Préventions des complications maternelle et fœtale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Identification des facteurs de risques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Diagnostic précoce de pathologie ou d’anomalie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Absence de surveillance : FDR de morbidité et de mortalité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Surveillance devant être mensuelle dès le début de la grossesse </w:t>
      </w:r>
    </w:p>
    <w:p>
      <w:pPr>
        <w:pStyle w:val="style1"/>
        <w:rPr>
          <w:lang w:val="fr-FR"/>
        </w:rPr>
      </w:pPr>
      <w:r>
        <w:rPr>
          <w:lang w:val="fr-FR"/>
        </w:rPr>
        <w:t>Surveillance du 1</w:t>
      </w:r>
      <w:r>
        <w:rPr>
          <w:vertAlign w:val="superscript"/>
          <w:lang w:val="fr-FR"/>
        </w:rPr>
        <w:t>er</w:t>
      </w:r>
      <w:r>
        <w:rPr>
          <w:lang w:val="fr-FR"/>
        </w:rPr>
        <w:t xml:space="preserve"> trimestre</w:t>
      </w:r>
    </w:p>
    <w:p>
      <w:pPr>
        <w:pStyle w:val="style2"/>
        <w:rPr>
          <w:lang w:val="fr-FR"/>
        </w:rPr>
      </w:pPr>
      <w:r>
        <w:rPr>
          <w:lang w:val="fr-FR"/>
        </w:rPr>
        <w:t>1</w:t>
      </w:r>
      <w:r>
        <w:rPr>
          <w:vertAlign w:val="superscript"/>
          <w:lang w:val="fr-FR"/>
        </w:rPr>
        <w:t>er</w:t>
      </w:r>
      <w:r>
        <w:rPr>
          <w:lang w:val="fr-FR"/>
        </w:rPr>
        <w:t xml:space="preserve"> examen (le plus tôt possible)</w:t>
      </w:r>
    </w:p>
    <w:p>
      <w:pPr>
        <w:pStyle w:val="style3"/>
        <w:rPr/>
      </w:pPr>
      <w:r>
        <w:t>Buts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Confirmer la grossesse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Dater le début de la grossesse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Dater le terme théorique de l’accouchement (DPA)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Evaluer les FDR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Prescrire les examens biologiques de T1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Prescrire l’échographie du T1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Donner les conseils d’hygiène de vie </w:t>
      </w:r>
    </w:p>
    <w:p>
      <w:pPr>
        <w:pStyle w:val="style3"/>
        <w:rPr/>
      </w:pPr>
      <w:r>
        <w:t>Interrogatoire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GPA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DDR : datation de la grossesse en semaines d’aménorrhée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ATCD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Age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Exposition professionnelle à des produits toxiques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Traitement en cours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Addictions : tabac, alcool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Déroulement des grossesses précédentes et leurs issues (HTAG, diabète gestationnel, accouchement prématuré)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ATCD familiaux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HTA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Diabète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Maladie génétique</w:t>
      </w:r>
    </w:p>
    <w:p>
      <w:pPr>
        <w:pStyle w:val="style3"/>
        <w:rPr/>
      </w:pPr>
      <w:r>
        <w:t>Examen clinique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Examen gynécologique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Confirme la grossesse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S’assure de l’absence de douleur ou de saignement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Recherche des lésions génitales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Condylomes 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Herpes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Cicatrices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Mutilations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Infection vaginale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Permet de faire un frottis cervical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 l’inspection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Organes génitaux externes œdématiés et hyperpigmentés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Seins volumineux, tendus, sensibles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Aréoles bombantes, apparition de tubercules de Montgomery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Au spéculum : le col de l’utérus est violacé, la glaire cervicale est coagulée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Au toucher vaginal : l’utérus est gros, mou, globuleux. Le col est long, fermé et postérieur</w:t>
      </w:r>
    </w:p>
    <w:p>
      <w:pPr>
        <w:pStyle w:val="style3"/>
        <w:rPr/>
      </w:pPr>
      <w:r>
        <w:t xml:space="preserve">Echographie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Précise la situation intra-utérine du sac gestationnel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Précise la présence ou l’absence d’un embryon et des battements cardiaques </w:t>
      </w:r>
    </w:p>
    <w:p>
      <w:pPr>
        <w:pStyle w:val="style3"/>
        <w:rPr/>
      </w:pPr>
      <w:r>
        <w:t>Examens biologiques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Groupe sanguin : 2 déterminants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Recherche d’agglutinines irrégulières (RAI) : si positive identifier et titrer les anticorps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Sérologie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Toxoplasmose (IgG et IgM)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Rubéole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Glycémie à jeun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Numération globulaire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Antigène HBs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Albuminurie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Hépatite C et VIH (avec l’accord de la patiente)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Syphilis</w:t>
      </w:r>
    </w:p>
    <w:p>
      <w:pPr>
        <w:pStyle w:val="style2"/>
        <w:rPr>
          <w:lang w:val="fr-FR"/>
        </w:rPr>
      </w:pPr>
      <w:r>
        <w:rPr>
          <w:lang w:val="fr-FR"/>
        </w:rPr>
        <w:t>2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examen prénatal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1</w:t>
      </w:r>
      <w:r>
        <w:rPr>
          <w:vertAlign w:val="superscript"/>
          <w:lang w:val="fr-FR"/>
        </w:rPr>
        <w:t>er</w:t>
      </w:r>
      <w:r>
        <w:rPr>
          <w:lang w:val="fr-FR"/>
        </w:rPr>
        <w:t xml:space="preserve"> mois après le 1</w:t>
      </w:r>
      <w:r>
        <w:rPr>
          <w:vertAlign w:val="superscript"/>
          <w:lang w:val="fr-FR"/>
        </w:rPr>
        <w:t>er</w:t>
      </w:r>
      <w:r>
        <w:rPr>
          <w:lang w:val="fr-FR"/>
        </w:rPr>
        <w:t xml:space="preserve"> examen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clinique vérifie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Tension artérielle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Evolution de la taille utérine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Absence de saignements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Poids maternel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Echographie vérifie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Evolutivité de la grossesse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Avant 12 SA : embryon + activité cardiaque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Entre 12 et 14 SA : recherche de malformation majeure</w:t>
      </w:r>
    </w:p>
    <w:p>
      <w:pPr>
        <w:pStyle w:val="style179"/>
        <w:numPr>
          <w:ilvl w:val="3"/>
          <w:numId w:val="34"/>
        </w:numPr>
        <w:rPr>
          <w:lang w:val="fr-FR"/>
        </w:rPr>
      </w:pPr>
      <w:r>
        <w:rPr>
          <w:lang w:val="fr-FR"/>
        </w:rPr>
        <w:t>Mesure de clarté nucale</w:t>
      </w:r>
    </w:p>
    <w:p>
      <w:pPr>
        <w:pStyle w:val="style179"/>
        <w:numPr>
          <w:ilvl w:val="3"/>
          <w:numId w:val="34"/>
        </w:numPr>
        <w:rPr>
          <w:lang w:val="fr-FR"/>
        </w:rPr>
      </w:pPr>
      <w:r>
        <w:rPr>
          <w:lang w:val="fr-FR"/>
        </w:rPr>
        <w:t xml:space="preserve">Examen : tête, colonne vertébrale, membre, paroi abdominale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biologique : contrôle sérologique toxoplasmose et rubéole (si IgG négatif et IgM négatif)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Dépistage de la trisomie 21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Doit être proposé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Marqueurs sériques maternels entre 14 at 18 SA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AFP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B-HCG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Oestriol </w:t>
      </w:r>
    </w:p>
    <w:p>
      <w:pPr>
        <w:pStyle w:val="style1"/>
        <w:rPr>
          <w:lang w:val="fr-FR"/>
        </w:rPr>
      </w:pPr>
      <w:r>
        <w:rPr>
          <w:lang w:val="fr-FR"/>
        </w:rPr>
        <w:t>Surveillance du 2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trimestre</w:t>
      </w:r>
    </w:p>
    <w:p>
      <w:pPr>
        <w:pStyle w:val="style2"/>
        <w:rPr/>
      </w:pPr>
      <w:r>
        <w:t xml:space="preserve">Objectifs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Vérifier la bonne évolutivité de la grossesse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Détecter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Risque d’accouchement prématuré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HTA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RCIU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Diabète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Macrosomie fœtale (poids supérieur à la normale)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Hydramnios </w:t>
      </w:r>
    </w:p>
    <w:p>
      <w:pPr>
        <w:pStyle w:val="style2"/>
        <w:rPr/>
      </w:pPr>
      <w:r>
        <w:t>Interrogatoire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Mouvements actifs fœtaux perçus à partir du 4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ou 5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mois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Saignements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Contractions utérines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Fièvre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Pertes vaginales anormales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Brûlures urinaires</w:t>
      </w:r>
    </w:p>
    <w:p>
      <w:pPr>
        <w:pStyle w:val="style2"/>
        <w:rPr/>
      </w:pPr>
      <w:r>
        <w:t xml:space="preserve">Examen clinique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Mesure de la tension artérielle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TA sup. 14/9 confirmée à une 2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Avant 20 SA : HTA chronique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Après 20 SA : HTAG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Si + protéinurie sup. 300mg/24h : prééclampsie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Prise de poids maternel : en moyenne 1kg/mois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Auscultation des bruits du cœur fœtal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Palpation et mesure de la hauteur utérine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Toucher vaginal : systématique (dépistage du risque d’accouchement prématuré) fermeture et la longueur du col utérin</w:t>
      </w:r>
    </w:p>
    <w:p>
      <w:pPr>
        <w:pStyle w:val="style2"/>
        <w:rPr/>
      </w:pPr>
      <w:r>
        <w:t>Examen biologique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Sérologie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Toxoplasmose : répétée mensuellement si négative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Rubéole : répétée mensuellement jusqu’à </w:t>
      </w:r>
      <w:r>
        <w:rPr>
          <w:lang w:val="fr-FR"/>
        </w:rPr>
        <w:t>6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mois si négative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Hépatite B : au 6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mois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Numération sanguine pour dépister une anémie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Dépistage du diabète gestationnel : entre 24 et 28 SA (test d’O Suilivan)</w:t>
      </w:r>
    </w:p>
    <w:p>
      <w:pPr>
        <w:pStyle w:val="style2"/>
        <w:rPr/>
      </w:pPr>
      <w:r>
        <w:t>Echographie du 2ème trimestre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Entre 22 – 24 SA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Objectif : dépister d’éventuelles malformations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Morphologie fœtale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Biométrie (crâne, abdomen, fémur)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Annexes fœtales (cordon, placenta, liquide amniotique)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Doppler si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Patiente à risque vasculaire + ATCD de mort fœtale in utéro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Retard de croissance intra-utérin</w:t>
      </w:r>
    </w:p>
    <w:p>
      <w:pPr>
        <w:pStyle w:val="style1"/>
        <w:rPr>
          <w:lang w:val="fr-FR"/>
        </w:rPr>
      </w:pPr>
      <w:r>
        <w:rPr>
          <w:lang w:val="fr-FR"/>
        </w:rPr>
        <w:t>Surveillance du 3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trimestre</w:t>
      </w:r>
    </w:p>
    <w:p>
      <w:pPr>
        <w:pStyle w:val="style2"/>
        <w:rPr>
          <w:lang w:val="fr-FR"/>
        </w:rPr>
      </w:pPr>
      <w:r>
        <w:rPr>
          <w:lang w:val="fr-FR"/>
        </w:rPr>
        <w:t>Examen clinique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MAF ressenti : si diminution brutale ou disparition de 6 – 12 heures (inf. 10 mouvements sur 5 heures) = consultation d’urgence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Palpation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Présentation fœtale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Tonicité utérus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Mesure hauteur utérine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Toucher vaginal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Examen clinique du bassin à 36 SA : scannopelvimétrie si doute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Confirmation présentation</w:t>
      </w:r>
    </w:p>
    <w:p>
      <w:pPr>
        <w:pStyle w:val="style2"/>
        <w:rPr>
          <w:lang w:val="fr-FR"/>
        </w:rPr>
      </w:pPr>
      <w:r>
        <w:rPr>
          <w:lang w:val="fr-FR"/>
        </w:rPr>
        <w:t>Examens biologique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Bilan de la coagulation sanguine pour accouchement et éventuelle péridural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Prélèvement vaginal : recherche de streptocoque B</w:t>
      </w:r>
    </w:p>
    <w:p>
      <w:pPr>
        <w:pStyle w:val="style2"/>
        <w:rPr>
          <w:lang w:val="fr-FR"/>
        </w:rPr>
      </w:pPr>
      <w:r>
        <w:rPr>
          <w:lang w:val="fr-FR"/>
        </w:rPr>
        <w:t>Echographie du 3</w:t>
      </w:r>
      <w:r>
        <w:rPr>
          <w:vertAlign w:val="superscript"/>
          <w:lang w:val="fr-FR"/>
        </w:rPr>
        <w:t>ème</w:t>
      </w:r>
      <w:r>
        <w:rPr>
          <w:lang w:val="fr-FR"/>
        </w:rPr>
        <w:t xml:space="preserve"> trimestre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Croissance fœtale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Dépister RCIU et macrosomie fœtale (gros bébé)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Morphologie fœtale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Localisation placentaire pour éliminer un placenta bas inséré </w:t>
      </w:r>
      <w:r>
        <w:rPr>
          <w:lang w:val="fr-FR"/>
        </w:rPr>
        <w:t xml:space="preserve">(placenta </w:t>
      </w:r>
      <w:r>
        <w:rPr>
          <w:lang w:val="fr-FR"/>
        </w:rPr>
        <w:t>prævia</w:t>
      </w:r>
      <w:r>
        <w:rPr>
          <w:lang w:val="fr-FR"/>
        </w:rPr>
        <w:t xml:space="preserve">)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Quantité de liquide amniotique : la présentation fœtale </w:t>
      </w:r>
    </w:p>
    <w:p>
      <w:pPr>
        <w:pStyle w:val="style1"/>
        <w:rPr>
          <w:lang w:val="fr-FR"/>
        </w:rPr>
      </w:pPr>
      <w:r>
        <w:rPr>
          <w:lang w:val="fr-FR"/>
        </w:rPr>
        <w:t xml:space="preserve">Surveillance du terme dépassé </w:t>
      </w:r>
      <w:r>
        <w:rPr>
          <w:rFonts w:cs="Times New Roman"/>
          <w:lang w:val="fr-FR"/>
        </w:rPr>
        <w:t>≥</w:t>
      </w:r>
      <w:r>
        <w:rPr>
          <w:lang w:val="fr-FR"/>
        </w:rPr>
        <w:t xml:space="preserve"> 41 SA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Risque 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Souffrance fœtale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Inha</w:t>
      </w:r>
      <w:bookmarkStart w:id="0" w:name="_GoBack"/>
      <w:bookmarkEnd w:id="0"/>
      <w:r>
        <w:rPr>
          <w:lang w:val="fr-FR"/>
        </w:rPr>
        <w:t>lation méconiale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Mort in utéro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Toute femme doit être informée de la nécessité de consulter le jour du terme si elle n’a pas encore accouché 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Objectifs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Vérifier la datation de la grossesse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>Evaluer le bien être fœtale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Mouvements fœtaux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Echographie fœtale : LA, MAF, BDCF</w:t>
      </w:r>
    </w:p>
    <w:p>
      <w:pPr>
        <w:pStyle w:val="style179"/>
        <w:numPr>
          <w:ilvl w:val="2"/>
          <w:numId w:val="34"/>
        </w:numPr>
        <w:rPr>
          <w:lang w:val="fr-FR"/>
        </w:rPr>
      </w:pPr>
      <w:r>
        <w:rPr>
          <w:lang w:val="fr-FR"/>
        </w:rPr>
        <w:t>Enregistrement du rythme cardiaque fœtal tous les 2 jours</w:t>
      </w:r>
    </w:p>
    <w:p>
      <w:pPr>
        <w:pStyle w:val="style179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Apprécier les conditions d’un éventuel déclenchement artificiel du travail </w:t>
      </w:r>
    </w:p>
    <w:p>
      <w:pPr>
        <w:pStyle w:val="style1"/>
        <w:rPr>
          <w:lang w:val="fr-FR"/>
        </w:rPr>
      </w:pPr>
      <w:r>
        <w:rPr>
          <w:lang w:val="fr-FR"/>
        </w:rPr>
        <w:t>Conclusion</w:t>
      </w:r>
    </w:p>
    <w:p>
      <w:pPr>
        <w:pStyle w:val="style0"/>
        <w:rPr>
          <w:lang w:val="fr-FR"/>
        </w:rPr>
      </w:pPr>
      <w:r>
        <w:rPr>
          <w:lang w:val="fr-FR"/>
        </w:rPr>
        <w:t>Suivi de grossesse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Une consultation mensuelle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3 échographies obligatoires (12, 22 et 32 SA)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Des sérologies obligatoires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Déclarations de grossesse avant 15 SA  (médecin ou sage-femme)</w:t>
      </w:r>
    </w:p>
    <w:p>
      <w:pPr>
        <w:pStyle w:val="style179"/>
        <w:numPr>
          <w:ilvl w:val="0"/>
          <w:numId w:val="34"/>
        </w:numPr>
        <w:rPr>
          <w:lang w:val="fr-FR"/>
        </w:rPr>
      </w:pPr>
      <w:r>
        <w:rPr>
          <w:lang w:val="fr-FR"/>
        </w:rPr>
        <w:t>Moyen de lutte contre la morbi-mortalité materno-infantile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 color="#395e8a" weight="2.0pt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 weight="0.5pt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 color="#395e8a" weight="3.0pt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fr-FR"/>
      </w:rPr>
      <w:t xml:space="preserve">Gynécologie obstétrique du 29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E809B6A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58D4467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2AA2402"/>
    <w:lvl w:ilvl="0" w:tplc="C28E468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3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DCC737-B073-48B9-B523-ABAEC58E2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Words>839</Words>
  <Pages>5</Pages>
  <Characters>4975</Characters>
  <Application>WPS Office</Application>
  <DocSecurity>0</DocSecurity>
  <Paragraphs>179</Paragraphs>
  <ScaleCrop>false</ScaleCrop>
  <LinksUpToDate>false</LinksUpToDate>
  <CharactersWithSpaces>5673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2025-07-29T10:28:57Z</dcterms:modified>
  <revision>17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4096e4ea82224dd8bcdadab88ec1beb9</vt:lpwstr>
  </property>
</Properties>
</file>