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65F9" w:rsidRDefault="001F626F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 xml:space="preserve">Anémie hémolytique auto - immune </w:t>
      </w:r>
    </w:p>
    <w:p w14:paraId="00000002" w14:textId="77777777" w:rsidR="006D65F9" w:rsidRDefault="006D65F9"/>
    <w:p w14:paraId="00000003" w14:textId="77777777" w:rsidR="006D65F9" w:rsidRDefault="001F626F">
      <w:pPr>
        <w:numPr>
          <w:ilvl w:val="0"/>
          <w:numId w:val="2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Généralités </w:t>
      </w:r>
    </w:p>
    <w:p w14:paraId="00000004" w14:textId="77777777" w:rsidR="006D65F9" w:rsidRDefault="001F626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Complexe, polymorphe </w:t>
      </w:r>
    </w:p>
    <w:p w14:paraId="00000005" w14:textId="77777777" w:rsidR="006D65F9" w:rsidRDefault="006D65F9">
      <w:pPr>
        <w:ind w:left="1440"/>
        <w:rPr>
          <w:sz w:val="24"/>
          <w:szCs w:val="24"/>
        </w:rPr>
      </w:pPr>
    </w:p>
    <w:p w14:paraId="00000006" w14:textId="77777777" w:rsidR="006D65F9" w:rsidRDefault="001F626F">
      <w:pPr>
        <w:numPr>
          <w:ilvl w:val="0"/>
          <w:numId w:val="2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Diagnostic </w:t>
      </w:r>
    </w:p>
    <w:p w14:paraId="00000007" w14:textId="77777777" w:rsidR="006D65F9" w:rsidRDefault="001F626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Devant un patient présentant typiquement une anémie, ictère, splénomégalie </w:t>
      </w:r>
    </w:p>
    <w:p w14:paraId="00000008" w14:textId="77777777" w:rsidR="006D65F9" w:rsidRDefault="001F626F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Anémie </w:t>
      </w:r>
    </w:p>
    <w:p w14:paraId="00000009" w14:textId="77777777" w:rsidR="006D65F9" w:rsidRDefault="001F626F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Hémolyse </w:t>
      </w:r>
    </w:p>
    <w:p w14:paraId="0000000A" w14:textId="77777777" w:rsidR="006D65F9" w:rsidRDefault="001F626F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Nature auto - immune </w:t>
      </w:r>
    </w:p>
    <w:p w14:paraId="0000000B" w14:textId="77777777" w:rsidR="006D65F9" w:rsidRDefault="001F626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Test direct à l’</w:t>
      </w:r>
      <w:proofErr w:type="spellStart"/>
      <w:r>
        <w:rPr>
          <w:sz w:val="24"/>
          <w:szCs w:val="24"/>
        </w:rPr>
        <w:t>Antiglobuline</w:t>
      </w:r>
      <w:proofErr w:type="spellEnd"/>
      <w:r>
        <w:rPr>
          <w:sz w:val="24"/>
          <w:szCs w:val="24"/>
        </w:rPr>
        <w:t xml:space="preserve"> TDA ou test de </w:t>
      </w:r>
      <w:proofErr w:type="spellStart"/>
      <w:r>
        <w:rPr>
          <w:sz w:val="24"/>
          <w:szCs w:val="24"/>
        </w:rPr>
        <w:t>Coombs</w:t>
      </w:r>
      <w:proofErr w:type="spellEnd"/>
      <w:r>
        <w:rPr>
          <w:sz w:val="24"/>
          <w:szCs w:val="24"/>
        </w:rPr>
        <w:t xml:space="preserve"> direct TCD (Positif 95%) </w:t>
      </w:r>
    </w:p>
    <w:p w14:paraId="0000000C" w14:textId="77777777" w:rsidR="006D65F9" w:rsidRDefault="006D65F9">
      <w:pPr>
        <w:ind w:left="2160"/>
        <w:rPr>
          <w:sz w:val="24"/>
          <w:szCs w:val="24"/>
        </w:rPr>
      </w:pPr>
    </w:p>
    <w:p w14:paraId="0000000D" w14:textId="77777777" w:rsidR="006D65F9" w:rsidRDefault="001F626F">
      <w:pPr>
        <w:numPr>
          <w:ilvl w:val="0"/>
          <w:numId w:val="2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Classification </w:t>
      </w:r>
    </w:p>
    <w:p w14:paraId="0000000E" w14:textId="77777777" w:rsidR="006D65F9" w:rsidRDefault="001F626F">
      <w:pPr>
        <w:numPr>
          <w:ilvl w:val="1"/>
          <w:numId w:val="2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>AHAI à AC chauds (optimum thermique voisin de 37°C)</w:t>
      </w:r>
    </w:p>
    <w:p w14:paraId="0000000F" w14:textId="77777777" w:rsidR="006D65F9" w:rsidRDefault="001F626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Non hémolysant in vitro </w:t>
      </w:r>
    </w:p>
    <w:p w14:paraId="00000010" w14:textId="77777777" w:rsidR="006D65F9" w:rsidRDefault="001F626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TCD type IgG + C3d </w:t>
      </w:r>
    </w:p>
    <w:p w14:paraId="00000011" w14:textId="77777777" w:rsidR="006D65F9" w:rsidRDefault="001F626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Spécificité Eh ou pseudo Rh </w:t>
      </w:r>
    </w:p>
    <w:p w14:paraId="00000012" w14:textId="77777777" w:rsidR="006D65F9" w:rsidRDefault="001F626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Responsable d’hémolyse extra vasculaire (destruction intra tissulaire, notamment splénique) </w:t>
      </w:r>
    </w:p>
    <w:p w14:paraId="00000013" w14:textId="77777777" w:rsidR="006D65F9" w:rsidRDefault="006D65F9">
      <w:pPr>
        <w:ind w:left="2160"/>
        <w:rPr>
          <w:sz w:val="24"/>
          <w:szCs w:val="24"/>
        </w:rPr>
      </w:pPr>
    </w:p>
    <w:p w14:paraId="00000014" w14:textId="77777777" w:rsidR="006D65F9" w:rsidRDefault="001F626F">
      <w:pPr>
        <w:numPr>
          <w:ilvl w:val="1"/>
          <w:numId w:val="2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AHAI à AC froids (optimum thermique voisin de 4°C) agglutination froides </w:t>
      </w:r>
    </w:p>
    <w:p w14:paraId="00000015" w14:textId="77777777" w:rsidR="006D65F9" w:rsidRDefault="001F626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16 à 32% des cas </w:t>
      </w:r>
    </w:p>
    <w:p w14:paraId="00000016" w14:textId="77777777" w:rsidR="006D65F9" w:rsidRDefault="001F626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 plus souvent </w:t>
      </w:r>
      <w:proofErr w:type="spellStart"/>
      <w:r>
        <w:rPr>
          <w:sz w:val="24"/>
          <w:szCs w:val="24"/>
        </w:rPr>
        <w:t>IgM</w:t>
      </w:r>
      <w:proofErr w:type="spellEnd"/>
      <w:r>
        <w:rPr>
          <w:sz w:val="24"/>
          <w:szCs w:val="24"/>
        </w:rPr>
        <w:t xml:space="preserve"> </w:t>
      </w:r>
    </w:p>
    <w:p w14:paraId="00000017" w14:textId="77777777" w:rsidR="006D65F9" w:rsidRDefault="001F626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Associés à d’autres manifestations déclenchées par l’exposition au froid </w:t>
      </w:r>
    </w:p>
    <w:p w14:paraId="00000018" w14:textId="77777777" w:rsidR="006D65F9" w:rsidRDefault="001F626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Crises d'hémolyse intra ou extra vasculaires (destruction souvent hépatique </w:t>
      </w:r>
    </w:p>
    <w:p w14:paraId="00000019" w14:textId="77777777" w:rsidR="006D65F9" w:rsidRDefault="001F626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TCD + type C3d </w:t>
      </w:r>
    </w:p>
    <w:p w14:paraId="0000001A" w14:textId="77777777" w:rsidR="006D65F9" w:rsidRDefault="001F626F">
      <w:pPr>
        <w:numPr>
          <w:ilvl w:val="1"/>
          <w:numId w:val="2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Anémies hémolytiques auto -immunes mixtes </w:t>
      </w:r>
    </w:p>
    <w:p w14:paraId="0000001B" w14:textId="77777777" w:rsidR="006D65F9" w:rsidRDefault="001F626F">
      <w:pPr>
        <w:numPr>
          <w:ilvl w:val="1"/>
          <w:numId w:val="2"/>
        </w:num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Anémies hémolytiques auto -immunes à </w:t>
      </w:r>
      <w:proofErr w:type="spellStart"/>
      <w:r>
        <w:rPr>
          <w:color w:val="274E13"/>
          <w:sz w:val="24"/>
          <w:szCs w:val="24"/>
        </w:rPr>
        <w:t>Coombs</w:t>
      </w:r>
      <w:proofErr w:type="spellEnd"/>
      <w:r>
        <w:rPr>
          <w:color w:val="274E13"/>
          <w:sz w:val="24"/>
          <w:szCs w:val="24"/>
        </w:rPr>
        <w:t xml:space="preserve"> négatif </w:t>
      </w:r>
    </w:p>
    <w:p w14:paraId="0000001C" w14:textId="77777777" w:rsidR="006D65F9" w:rsidRDefault="006D65F9">
      <w:pPr>
        <w:ind w:left="1440"/>
        <w:rPr>
          <w:color w:val="274E13"/>
          <w:sz w:val="24"/>
          <w:szCs w:val="24"/>
        </w:rPr>
      </w:pPr>
    </w:p>
    <w:p w14:paraId="0000001D" w14:textId="77777777" w:rsidR="006D65F9" w:rsidRDefault="001F626F">
      <w:pPr>
        <w:numPr>
          <w:ilvl w:val="0"/>
          <w:numId w:val="2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Conduite étiologique </w:t>
      </w:r>
    </w:p>
    <w:p w14:paraId="0000001E" w14:textId="77777777" w:rsidR="006D65F9" w:rsidRDefault="001F626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AHAI avec </w:t>
      </w:r>
      <w:proofErr w:type="spellStart"/>
      <w:r>
        <w:rPr>
          <w:sz w:val="24"/>
          <w:szCs w:val="24"/>
        </w:rPr>
        <w:t>TCd</w:t>
      </w:r>
      <w:proofErr w:type="spellEnd"/>
      <w:r>
        <w:rPr>
          <w:sz w:val="24"/>
          <w:szCs w:val="24"/>
        </w:rPr>
        <w:t xml:space="preserve"> positif de type IgG ou C3d ou IgG + C3d </w:t>
      </w:r>
    </w:p>
    <w:p w14:paraId="0000001F" w14:textId="77777777" w:rsidR="006D65F9" w:rsidRDefault="001F626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Maladie auto -immune systémique, hémopathie lymphoïde (LLC), déficit immunitaire, cancer associé </w:t>
      </w:r>
    </w:p>
    <w:p w14:paraId="00000020" w14:textId="77777777" w:rsidR="006D65F9" w:rsidRDefault="001F626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Chez adulte : </w:t>
      </w:r>
    </w:p>
    <w:p w14:paraId="00000021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Hémolyse déclenchée par le froid</w:t>
      </w:r>
    </w:p>
    <w:p w14:paraId="00000022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TDC positif </w:t>
      </w:r>
    </w:p>
    <w:p w14:paraId="00000023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… </w:t>
      </w:r>
    </w:p>
    <w:p w14:paraId="00000024" w14:textId="77777777" w:rsidR="006D65F9" w:rsidRDefault="006D65F9">
      <w:pPr>
        <w:ind w:left="2160"/>
        <w:rPr>
          <w:sz w:val="24"/>
          <w:szCs w:val="24"/>
        </w:rPr>
      </w:pPr>
    </w:p>
    <w:p w14:paraId="00000025" w14:textId="77777777" w:rsidR="006D65F9" w:rsidRDefault="001F626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Adulte jeune </w:t>
      </w:r>
    </w:p>
    <w:p w14:paraId="00000026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Infection à mycoplasme </w:t>
      </w:r>
    </w:p>
    <w:p w14:paraId="00000027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Mononucléose infectieuse </w:t>
      </w:r>
    </w:p>
    <w:p w14:paraId="00000028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Infection virale rhinopharyngée </w:t>
      </w:r>
    </w:p>
    <w:p w14:paraId="00000029" w14:textId="77777777" w:rsidR="006D65F9" w:rsidRDefault="001F626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Chez l’enfant </w:t>
      </w:r>
    </w:p>
    <w:p w14:paraId="0000002A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Hémoglobinurie paroxystique à frigorie ou nocturne </w:t>
      </w:r>
    </w:p>
    <w:p w14:paraId="0000002B" w14:textId="77777777" w:rsidR="006D65F9" w:rsidRDefault="001F626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Sérologie virale CMV, EBV, HCV, HIV, mycoplasme </w:t>
      </w:r>
    </w:p>
    <w:sectPr w:rsidR="006D65F9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1A2B8" w14:textId="77777777" w:rsidR="00000000" w:rsidRDefault="001F626F">
      <w:pPr>
        <w:spacing w:line="240" w:lineRule="auto"/>
      </w:pPr>
      <w:r>
        <w:separator/>
      </w:r>
    </w:p>
  </w:endnote>
  <w:endnote w:type="continuationSeparator" w:id="0">
    <w:p w14:paraId="59D93FF7" w14:textId="77777777" w:rsidR="00000000" w:rsidRDefault="001F62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C" w14:textId="0F365992" w:rsidR="006D65F9" w:rsidRDefault="001F626F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99C79" w14:textId="77777777" w:rsidR="00000000" w:rsidRDefault="001F626F">
      <w:pPr>
        <w:spacing w:line="240" w:lineRule="auto"/>
      </w:pPr>
      <w:r>
        <w:separator/>
      </w:r>
    </w:p>
  </w:footnote>
  <w:footnote w:type="continuationSeparator" w:id="0">
    <w:p w14:paraId="744043C3" w14:textId="77777777" w:rsidR="00000000" w:rsidRDefault="001F62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77777777" w:rsidR="006D65F9" w:rsidRDefault="001F626F">
    <w:pPr>
      <w:jc w:val="center"/>
      <w:rPr>
        <w:sz w:val="24"/>
        <w:szCs w:val="24"/>
      </w:rPr>
    </w:pPr>
    <w:r>
      <w:rPr>
        <w:sz w:val="24"/>
        <w:szCs w:val="24"/>
      </w:rPr>
      <w:t xml:space="preserve">Note : Jérémie </w:t>
    </w:r>
    <w:r>
      <w:rPr>
        <w:sz w:val="24"/>
        <w:szCs w:val="24"/>
      </w:rPr>
      <w:tab/>
    </w:r>
    <w:r>
      <w:rPr>
        <w:sz w:val="24"/>
        <w:szCs w:val="24"/>
      </w:rPr>
      <w:tab/>
      <w:t>Prof. RAKOTOVAO Luc</w:t>
    </w:r>
    <w:r>
      <w:rPr>
        <w:sz w:val="24"/>
        <w:szCs w:val="24"/>
      </w:rPr>
      <w:tab/>
    </w:r>
    <w:r>
      <w:rPr>
        <w:sz w:val="24"/>
        <w:szCs w:val="24"/>
      </w:rPr>
      <w:tab/>
      <w:t xml:space="preserve">17/01/25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E7A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3D5793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85C34C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71460FA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3B014C9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8B467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B0B5DDE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935403743">
    <w:abstractNumId w:val="0"/>
  </w:num>
  <w:num w:numId="2" w16cid:durableId="394086363">
    <w:abstractNumId w:val="5"/>
  </w:num>
  <w:num w:numId="3" w16cid:durableId="1306008083">
    <w:abstractNumId w:val="1"/>
  </w:num>
  <w:num w:numId="4" w16cid:durableId="1249075584">
    <w:abstractNumId w:val="3"/>
  </w:num>
  <w:num w:numId="5" w16cid:durableId="340086933">
    <w:abstractNumId w:val="6"/>
  </w:num>
  <w:num w:numId="6" w16cid:durableId="1303926396">
    <w:abstractNumId w:val="4"/>
  </w:num>
  <w:num w:numId="7" w16cid:durableId="1410423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5F9"/>
    <w:rsid w:val="001F626F"/>
    <w:rsid w:val="006D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2025-01-22T17:51:00Z</dcterms:created>
  <dcterms:modified xsi:type="dcterms:W3CDTF">2025-01-22T17:51:00Z</dcterms:modified>
</cp:coreProperties>
</file>