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63C5" w:rsidRDefault="005463C5" w:rsidP="00D1393D">
      <w:pPr>
        <w:pStyle w:val="Titre"/>
      </w:pPr>
      <w:r>
        <w:t>anémie hémolytique </w:t>
      </w:r>
    </w:p>
    <w:p w:rsidR="005463C5" w:rsidRDefault="005463C5" w:rsidP="00D1393D">
      <w:pPr>
        <w:pStyle w:val="Titre1"/>
      </w:pPr>
      <w:r>
        <w:t>Définition :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 w:rsidRPr="00F53D5D">
        <w:rPr>
          <w:b/>
          <w:bCs/>
        </w:rPr>
        <w:t>Anémie</w:t>
      </w:r>
      <w:r>
        <w:t xml:space="preserve"> (baisse de l’hémoglobine) </w:t>
      </w:r>
    </w:p>
    <w:p w:rsidR="005463C5" w:rsidRPr="00F53D5D" w:rsidRDefault="005463C5" w:rsidP="00D1393D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>
        <w:t xml:space="preserve">Par </w:t>
      </w:r>
      <w:r w:rsidRPr="00F53D5D">
        <w:rPr>
          <w:b/>
          <w:bCs/>
          <w:color w:val="FF0000" w:themeColor="accent2"/>
        </w:rPr>
        <w:t xml:space="preserve">destruction des hématies :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Rapide (&lt; 100 jours)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Excessive </w:t>
      </w:r>
    </w:p>
    <w:p w:rsidR="005463C5" w:rsidRDefault="005463C5" w:rsidP="00D1393D">
      <w:pPr>
        <w:pStyle w:val="Titre1"/>
      </w:pPr>
      <w:r>
        <w:t xml:space="preserve">Clinique : </w:t>
      </w:r>
    </w:p>
    <w:p w:rsidR="005463C5" w:rsidRPr="002E2F67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2E2F67">
        <w:rPr>
          <w:b/>
          <w:bCs/>
        </w:rPr>
        <w:t>Anémie :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SF, SP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Masquée par l’ictère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 w:rsidRPr="002E2F67">
        <w:rPr>
          <w:b/>
          <w:bCs/>
        </w:rPr>
        <w:t xml:space="preserve">Ictère : </w:t>
      </w:r>
      <w:r>
        <w:t xml:space="preserve">coloration jaune </w:t>
      </w:r>
      <w:proofErr w:type="spellStart"/>
      <w:r>
        <w:t>conjonctivo</w:t>
      </w:r>
      <w:proofErr w:type="spellEnd"/>
      <w:r>
        <w:t xml:space="preserve">-muqueuse :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Généralisé :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Urines foncées  (urobiline) volume normal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>Selles foncées (non décolorées)</w:t>
      </w:r>
    </w:p>
    <w:p w:rsidR="005463C5" w:rsidRPr="002E2F67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2E2F67">
        <w:rPr>
          <w:b/>
          <w:bCs/>
        </w:rPr>
        <w:t xml:space="preserve">Splénomégalie :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Rate débordant le rebord costal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Lisse, ferme, non douloureuse </w:t>
      </w:r>
    </w:p>
    <w:p w:rsidR="005463C5" w:rsidRDefault="005463C5" w:rsidP="00D1393D">
      <w:pPr>
        <w:pStyle w:val="Titre1"/>
      </w:pPr>
      <w:r>
        <w:t xml:space="preserve">Biologie : </w:t>
      </w:r>
    </w:p>
    <w:p w:rsidR="005463C5" w:rsidRDefault="005463C5" w:rsidP="00D1393D">
      <w:pPr>
        <w:pStyle w:val="Titre2"/>
      </w:pPr>
      <w:r>
        <w:t>Syndrome biologique commun :</w:t>
      </w:r>
    </w:p>
    <w:p w:rsidR="005463C5" w:rsidRPr="002E2F67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2E2F67">
        <w:rPr>
          <w:b/>
          <w:bCs/>
        </w:rPr>
        <w:t xml:space="preserve">Destruction globulaire :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Anémie modérée, </w:t>
      </w:r>
      <w:proofErr w:type="spellStart"/>
      <w:r>
        <w:t>normochrome</w:t>
      </w:r>
      <w:proofErr w:type="spellEnd"/>
      <w:r>
        <w:t xml:space="preserve">, + </w:t>
      </w:r>
      <w:proofErr w:type="spellStart"/>
      <w:r>
        <w:t>anisocytose</w:t>
      </w:r>
      <w:proofErr w:type="spellEnd"/>
      <w:r>
        <w:t xml:space="preserve"> , </w:t>
      </w:r>
      <w:proofErr w:type="spellStart"/>
      <w:r>
        <w:t>poïkilocytose</w:t>
      </w:r>
      <w:proofErr w:type="spellEnd"/>
      <w:r>
        <w:t xml:space="preserve">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proofErr w:type="spellStart"/>
      <w:r>
        <w:t>Hyperbilirubinémie</w:t>
      </w:r>
      <w:proofErr w:type="spellEnd"/>
      <w:r>
        <w:t xml:space="preserve">  libre + urobiline et </w:t>
      </w:r>
      <w:proofErr w:type="spellStart"/>
      <w:r>
        <w:t>stercobiline</w:t>
      </w:r>
      <w:proofErr w:type="spellEnd"/>
      <w:r>
        <w:t xml:space="preserve"> ↑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>Haptoglobine ↓↓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>Fer sérique ↑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>Diminution durée de vie isotopique GR (Cr21*)</w:t>
      </w:r>
    </w:p>
    <w:p w:rsidR="005463C5" w:rsidRPr="00030D2F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030D2F">
        <w:rPr>
          <w:b/>
          <w:bCs/>
        </w:rPr>
        <w:t xml:space="preserve">Régénération médullaire :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>Réticulocytes +++, érythroblastose sanguine ++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Moelle riche </w:t>
      </w:r>
      <w:proofErr w:type="spellStart"/>
      <w:r>
        <w:t>érythroblastique</w:t>
      </w:r>
      <w:proofErr w:type="spellEnd"/>
      <w:r>
        <w:t xml:space="preserve"> </w:t>
      </w:r>
    </w:p>
    <w:p w:rsidR="005463C5" w:rsidRDefault="005463C5" w:rsidP="00D1393D">
      <w:pPr>
        <w:pStyle w:val="Titre2"/>
      </w:pPr>
      <w:r>
        <w:t xml:space="preserve">Recherche étiologiques : </w:t>
      </w:r>
    </w:p>
    <w:p w:rsidR="005463C5" w:rsidRPr="00030D2F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030D2F">
        <w:rPr>
          <w:b/>
          <w:bCs/>
        </w:rPr>
        <w:t>Anomalies étiologiques :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Morphologie des GR sur frottis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Drépanocytose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proofErr w:type="spellStart"/>
      <w:r>
        <w:t>Schizocytose</w:t>
      </w:r>
      <w:proofErr w:type="spellEnd"/>
      <w:r>
        <w:t xml:space="preserve">, </w:t>
      </w:r>
      <w:proofErr w:type="spellStart"/>
      <w:r>
        <w:t>microcphérocyte</w:t>
      </w:r>
      <w:proofErr w:type="spellEnd"/>
      <w:r>
        <w:t xml:space="preserve">, </w:t>
      </w:r>
      <w:proofErr w:type="spellStart"/>
      <w:r>
        <w:t>élliptocytes</w:t>
      </w:r>
      <w:proofErr w:type="spellEnd"/>
      <w:r>
        <w:t xml:space="preserve">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Granulations toxiques, corps de Heinz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Parasites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>Test d’</w:t>
      </w:r>
      <w:proofErr w:type="spellStart"/>
      <w:r>
        <w:t>Emmel</w:t>
      </w:r>
      <w:proofErr w:type="spellEnd"/>
      <w:r>
        <w:t xml:space="preserve"> (falciformation), test d’</w:t>
      </w:r>
      <w:proofErr w:type="spellStart"/>
      <w:r>
        <w:t>Itano</w:t>
      </w:r>
      <w:proofErr w:type="spellEnd"/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Etude hémoglobine (électrophorèse)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Résistance membranaire </w:t>
      </w:r>
    </w:p>
    <w:p w:rsidR="005463C5" w:rsidRPr="00A27D89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A27D89">
        <w:rPr>
          <w:b/>
          <w:bCs/>
        </w:rPr>
        <w:t xml:space="preserve">Anomalies plasmatiques : </w:t>
      </w:r>
    </w:p>
    <w:p w:rsidR="005463C5" w:rsidRPr="00A27D89" w:rsidRDefault="005463C5" w:rsidP="00D1393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27D89">
        <w:rPr>
          <w:b/>
          <w:bCs/>
          <w:i/>
          <w:iCs/>
        </w:rPr>
        <w:t xml:space="preserve">Cause immunologiques :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lastRenderedPageBreak/>
        <w:t xml:space="preserve">Test de </w:t>
      </w:r>
      <w:proofErr w:type="spellStart"/>
      <w:r>
        <w:t>Coombs</w:t>
      </w:r>
      <w:proofErr w:type="spellEnd"/>
      <w:r>
        <w:t xml:space="preserve"> (à l’</w:t>
      </w:r>
      <w:proofErr w:type="spellStart"/>
      <w:r>
        <w:t>antiglobuline</w:t>
      </w:r>
      <w:proofErr w:type="spellEnd"/>
      <w:r>
        <w:t>)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Groupage sanguin (mère, enfant) </w:t>
      </w:r>
    </w:p>
    <w:p w:rsidR="005463C5" w:rsidRPr="00A27D89" w:rsidRDefault="005463C5" w:rsidP="00D1393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27D89">
        <w:rPr>
          <w:b/>
          <w:bCs/>
          <w:i/>
          <w:iCs/>
        </w:rPr>
        <w:t xml:space="preserve">Electrophorèse des protéines plasmatiques </w:t>
      </w:r>
    </w:p>
    <w:p w:rsidR="005463C5" w:rsidRPr="00A27D89" w:rsidRDefault="005463C5" w:rsidP="00D1393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27D89">
        <w:rPr>
          <w:b/>
          <w:bCs/>
          <w:i/>
          <w:iCs/>
        </w:rPr>
        <w:t xml:space="preserve">Taux plasmatiques des enzymes érythrocytaire </w:t>
      </w:r>
    </w:p>
    <w:p w:rsidR="005463C5" w:rsidRDefault="005463C5" w:rsidP="00D1393D">
      <w:pPr>
        <w:pStyle w:val="Titre1"/>
      </w:pPr>
      <w:r>
        <w:t>Etiologies :</w:t>
      </w:r>
    </w:p>
    <w:p w:rsidR="005463C5" w:rsidRDefault="005463C5" w:rsidP="00D1393D">
      <w:pPr>
        <w:pStyle w:val="Titre2"/>
      </w:pPr>
      <w:r>
        <w:t xml:space="preserve">Congénitales, corpusculaires : </w:t>
      </w:r>
    </w:p>
    <w:p w:rsidR="005463C5" w:rsidRPr="00A27D89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A27D89">
        <w:rPr>
          <w:b/>
          <w:bCs/>
        </w:rPr>
        <w:t xml:space="preserve">Anomalies de l’hémoglobine :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Qualitative : </w:t>
      </w:r>
      <w:proofErr w:type="spellStart"/>
      <w:r>
        <w:t>Hb</w:t>
      </w:r>
      <w:proofErr w:type="spellEnd"/>
      <w:r>
        <w:t xml:space="preserve"> S (drépanocytose) </w:t>
      </w:r>
      <w:proofErr w:type="spellStart"/>
      <w:r>
        <w:t>Hb</w:t>
      </w:r>
      <w:proofErr w:type="spellEnd"/>
      <w:r>
        <w:t xml:space="preserve"> C, D, E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Quantitative : thalassémie </w:t>
      </w:r>
    </w:p>
    <w:p w:rsidR="005463C5" w:rsidRPr="00A27D89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A27D89">
        <w:rPr>
          <w:b/>
          <w:bCs/>
        </w:rPr>
        <w:t>Anomalies enzymes érythrocytaire :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Déficit en G6PD, Pyruvate Kinase </w:t>
      </w:r>
    </w:p>
    <w:p w:rsidR="005463C5" w:rsidRPr="00A27D89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A27D89">
        <w:rPr>
          <w:b/>
          <w:bCs/>
        </w:rPr>
        <w:t xml:space="preserve">Anomalies membrane :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proofErr w:type="spellStart"/>
      <w:r>
        <w:t>Microsphérocytose</w:t>
      </w:r>
      <w:proofErr w:type="spellEnd"/>
      <w:r>
        <w:t xml:space="preserve"> (maladie de Minkowski Chauffard)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proofErr w:type="spellStart"/>
      <w:r>
        <w:t>Elliptocytose</w:t>
      </w:r>
      <w:proofErr w:type="spellEnd"/>
      <w:r>
        <w:t xml:space="preserve"> </w:t>
      </w:r>
    </w:p>
    <w:p w:rsidR="005463C5" w:rsidRDefault="005463C5" w:rsidP="00D1393D">
      <w:pPr>
        <w:pStyle w:val="Titre2"/>
      </w:pPr>
      <w:r>
        <w:t xml:space="preserve">Acquise, </w:t>
      </w:r>
      <w:proofErr w:type="spellStart"/>
      <w:r>
        <w:t>extracorpusculaire</w:t>
      </w:r>
      <w:proofErr w:type="spellEnd"/>
      <w:r>
        <w:t xml:space="preserve"> :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 w:rsidRPr="00A27D89">
        <w:rPr>
          <w:b/>
          <w:bCs/>
        </w:rPr>
        <w:t xml:space="preserve">Immunologiques : </w:t>
      </w:r>
      <w:r>
        <w:t xml:space="preserve">anticorps </w:t>
      </w:r>
      <w:proofErr w:type="spellStart"/>
      <w:r>
        <w:t>anti-GR</w:t>
      </w:r>
      <w:proofErr w:type="spellEnd"/>
      <w:r>
        <w:t xml:space="preserve"> (transfusion sanguine, grossesse, auto-immunité)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 w:rsidRPr="00A27D89">
        <w:rPr>
          <w:b/>
          <w:bCs/>
        </w:rPr>
        <w:t xml:space="preserve">Infectieuse : </w:t>
      </w:r>
      <w:r>
        <w:t xml:space="preserve">septicémies, parvovirus, paludisme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 w:rsidRPr="00A27D89">
        <w:rPr>
          <w:b/>
          <w:bCs/>
        </w:rPr>
        <w:t xml:space="preserve">Toxiques : </w:t>
      </w:r>
      <w:r>
        <w:t>médicaments, plomb, champignons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 w:rsidRPr="00A27D89">
        <w:rPr>
          <w:b/>
          <w:bCs/>
        </w:rPr>
        <w:t xml:space="preserve">Mécaniques : </w:t>
      </w:r>
      <w:r>
        <w:t xml:space="preserve">prothèse cardiaque, </w:t>
      </w:r>
      <w:proofErr w:type="spellStart"/>
      <w:r>
        <w:t>microangiopathie</w:t>
      </w:r>
      <w:proofErr w:type="spellEnd"/>
      <w:r>
        <w:t xml:space="preserve"> (diabète), syndrome hémolytique urémique SHU </w:t>
      </w:r>
    </w:p>
    <w:p w:rsidR="005463C5" w:rsidRDefault="005463C5" w:rsidP="00D1393D">
      <w:pPr>
        <w:pStyle w:val="Titre1"/>
      </w:pPr>
      <w:r>
        <w:t xml:space="preserve">Anémie hémolytique auto-immune : </w:t>
      </w:r>
    </w:p>
    <w:p w:rsidR="005463C5" w:rsidRDefault="005463C5" w:rsidP="00D1393D">
      <w:pPr>
        <w:pStyle w:val="Titre2"/>
      </w:pPr>
      <w:r>
        <w:t xml:space="preserve">Généralités :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Complexe, polymorphe </w:t>
      </w:r>
    </w:p>
    <w:p w:rsidR="005463C5" w:rsidRDefault="005463C5" w:rsidP="00D1393D">
      <w:pPr>
        <w:pStyle w:val="Titre2"/>
      </w:pPr>
      <w:r>
        <w:t xml:space="preserve">Diagnostic :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Devant un patient présentant typiquement une anémie, ictère, splénomégalie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>Anémie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>Hémolyse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Nature auto-immune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>
        <w:t>Test direct à l’</w:t>
      </w:r>
      <w:proofErr w:type="spellStart"/>
      <w:r>
        <w:t>antiglobuline</w:t>
      </w:r>
      <w:proofErr w:type="spellEnd"/>
      <w:r>
        <w:t xml:space="preserve"> TDA ou test de </w:t>
      </w:r>
      <w:proofErr w:type="spellStart"/>
      <w:r>
        <w:t>Coombs</w:t>
      </w:r>
      <w:proofErr w:type="spellEnd"/>
      <w:r>
        <w:t xml:space="preserve"> direct TDC (positif 95%) </w:t>
      </w:r>
    </w:p>
    <w:p w:rsidR="005463C5" w:rsidRDefault="005463C5" w:rsidP="00D1393D">
      <w:pPr>
        <w:pStyle w:val="Titre2"/>
      </w:pPr>
      <w:r>
        <w:t xml:space="preserve">Classification : </w:t>
      </w:r>
    </w:p>
    <w:p w:rsidR="005463C5" w:rsidRPr="00E05CA3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E05CA3">
        <w:rPr>
          <w:b/>
          <w:bCs/>
        </w:rPr>
        <w:t xml:space="preserve">AHAI à </w:t>
      </w:r>
      <w:proofErr w:type="spellStart"/>
      <w:r w:rsidRPr="00E05CA3">
        <w:rPr>
          <w:b/>
          <w:bCs/>
        </w:rPr>
        <w:t>Ac</w:t>
      </w:r>
      <w:proofErr w:type="spellEnd"/>
      <w:r w:rsidRPr="00E05CA3">
        <w:rPr>
          <w:b/>
          <w:bCs/>
        </w:rPr>
        <w:t xml:space="preserve"> chauds (optimum thermique voisin de 37°C)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Non hémolysant in vitro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TCD type </w:t>
      </w:r>
      <w:proofErr w:type="spellStart"/>
      <w:r>
        <w:t>IgD</w:t>
      </w:r>
      <w:proofErr w:type="spellEnd"/>
      <w:r>
        <w:t xml:space="preserve"> + C3d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Spécialité Eh ou pseudo Rh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Responsable d’hémolyse </w:t>
      </w:r>
      <w:proofErr w:type="spellStart"/>
      <w:r>
        <w:t>extra-vasculaire</w:t>
      </w:r>
      <w:proofErr w:type="spellEnd"/>
      <w:r>
        <w:t xml:space="preserve"> (destruction intra-tissulaire, notamment splénique)</w:t>
      </w:r>
    </w:p>
    <w:p w:rsidR="005463C5" w:rsidRPr="00E05CA3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E05CA3">
        <w:rPr>
          <w:b/>
          <w:bCs/>
        </w:rPr>
        <w:t xml:space="preserve">AHAI à </w:t>
      </w:r>
      <w:proofErr w:type="spellStart"/>
      <w:r w:rsidRPr="00E05CA3">
        <w:rPr>
          <w:b/>
          <w:bCs/>
        </w:rPr>
        <w:t>Ac</w:t>
      </w:r>
      <w:proofErr w:type="spellEnd"/>
      <w:r w:rsidRPr="00E05CA3">
        <w:rPr>
          <w:b/>
          <w:bCs/>
        </w:rPr>
        <w:t xml:space="preserve"> froids (optimum thermique à 4°C) agglutination froides :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>16 à 32% des cas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Le plus souvent </w:t>
      </w:r>
      <w:proofErr w:type="spellStart"/>
      <w:r>
        <w:t>IgM</w:t>
      </w:r>
      <w:proofErr w:type="spellEnd"/>
      <w:r>
        <w:t xml:space="preserve">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lastRenderedPageBreak/>
        <w:t xml:space="preserve">Associés à d’autres manifestations déclenchées par l’exposition au froids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Crises d’hémolyse intra- ou </w:t>
      </w:r>
      <w:proofErr w:type="spellStart"/>
      <w:r>
        <w:t>extra-vasculaire</w:t>
      </w:r>
      <w:proofErr w:type="spellEnd"/>
      <w:r>
        <w:t xml:space="preserve"> (destruction souvent hépatique)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TCD + type C3d </w:t>
      </w:r>
    </w:p>
    <w:p w:rsidR="005463C5" w:rsidRPr="001C6ABD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1C6ABD">
        <w:rPr>
          <w:b/>
          <w:bCs/>
        </w:rPr>
        <w:t xml:space="preserve">Anémies hémolytiques auto-immunes mixtes </w:t>
      </w:r>
    </w:p>
    <w:p w:rsidR="005463C5" w:rsidRPr="001C6ABD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1C6ABD">
        <w:rPr>
          <w:b/>
          <w:bCs/>
        </w:rPr>
        <w:t xml:space="preserve">Anémies hémolytiques auto-immunes à </w:t>
      </w:r>
      <w:proofErr w:type="spellStart"/>
      <w:r w:rsidRPr="001C6ABD">
        <w:rPr>
          <w:b/>
          <w:bCs/>
        </w:rPr>
        <w:t>Coombs</w:t>
      </w:r>
      <w:proofErr w:type="spellEnd"/>
      <w:r w:rsidRPr="001C6ABD">
        <w:rPr>
          <w:b/>
          <w:bCs/>
        </w:rPr>
        <w:t xml:space="preserve"> négatifs </w:t>
      </w:r>
    </w:p>
    <w:p w:rsidR="005463C5" w:rsidRDefault="005463C5" w:rsidP="00D1393D">
      <w:pPr>
        <w:pStyle w:val="Titre2"/>
      </w:pPr>
      <w:r>
        <w:t>Conduite étiologique :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 w:rsidRPr="001C6ABD">
        <w:rPr>
          <w:b/>
          <w:bCs/>
        </w:rPr>
        <w:t>AHAI avec TCD positif</w:t>
      </w:r>
      <w:r>
        <w:t xml:space="preserve"> de type IgG ou C3d ou IgG + C3d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 w:rsidRPr="001C6ABD">
        <w:rPr>
          <w:b/>
          <w:bCs/>
        </w:rPr>
        <w:t>Maladie auto-immune</w:t>
      </w:r>
      <w:r>
        <w:t xml:space="preserve"> systémique, hémopathie lymphoïde (LLC), déficit immunitaire, cancer associé </w:t>
      </w:r>
    </w:p>
    <w:p w:rsidR="005463C5" w:rsidRPr="001C6ABD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1C6ABD">
        <w:rPr>
          <w:b/>
          <w:bCs/>
        </w:rPr>
        <w:t>Chez l’adulte :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Hémolyse déclenchée par le </w:t>
      </w:r>
      <w:proofErr w:type="spellStart"/>
      <w:r>
        <w:t>frois</w:t>
      </w:r>
      <w:proofErr w:type="spellEnd"/>
      <w:r>
        <w:t xml:space="preserve">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TDC positif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>…</w:t>
      </w:r>
    </w:p>
    <w:p w:rsidR="005463C5" w:rsidRPr="001C6ABD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1C6ABD">
        <w:rPr>
          <w:b/>
          <w:bCs/>
        </w:rPr>
        <w:t xml:space="preserve">Adulte jeune :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Infection à mycoplasme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Mononucléose infectieuse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Infection virale rhinopharyngée </w:t>
      </w:r>
    </w:p>
    <w:p w:rsidR="005463C5" w:rsidRPr="001C6ABD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1C6ABD">
        <w:rPr>
          <w:b/>
          <w:bCs/>
        </w:rPr>
        <w:t xml:space="preserve">Chez l’enfant :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>Hémoglobinurie paroxystique à frigorie ou nocturne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Sérologie virale CMV, EBV, HCV, HIV, mycoplasme </w:t>
      </w:r>
    </w:p>
    <w:p w:rsidR="005463C5" w:rsidRDefault="005463C5" w:rsidP="00D1393D">
      <w:pPr>
        <w:pStyle w:val="Titre1"/>
      </w:pPr>
      <w:r>
        <w:t>Anémies hémolytiques par déficit enzymatique :</w:t>
      </w:r>
    </w:p>
    <w:p w:rsidR="005463C5" w:rsidRDefault="005463C5" w:rsidP="00D1393D">
      <w:pPr>
        <w:pStyle w:val="Titre2"/>
      </w:pPr>
      <w:r>
        <w:t xml:space="preserve">Définition :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>
        <w:t>Anémie hémolytique d’origine corpusculaire congénitale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Due à un déficit en enzyme érythrocytaire </w:t>
      </w:r>
    </w:p>
    <w:p w:rsidR="005463C5" w:rsidRDefault="005463C5" w:rsidP="00D1393D">
      <w:pPr>
        <w:pStyle w:val="Titre2"/>
      </w:pPr>
      <w:r>
        <w:t xml:space="preserve">Déficit en G6PD : </w:t>
      </w:r>
    </w:p>
    <w:p w:rsidR="005463C5" w:rsidRDefault="005463C5" w:rsidP="00D1393D">
      <w:pPr>
        <w:pStyle w:val="Titre3"/>
      </w:pPr>
      <w:r>
        <w:t xml:space="preserve">Généralités :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Hémolyse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>
        <w:t>Déficit enzymatique de la glycolyse érythrocytaire (G6PD utile dans la 2</w:t>
      </w:r>
      <w:r w:rsidRPr="006A32DD">
        <w:rPr>
          <w:vertAlign w:val="superscript"/>
        </w:rPr>
        <w:t>ème</w:t>
      </w:r>
      <w:r>
        <w:t xml:space="preserve"> moitié de la vie des hématies)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Récessive liée au sexe (homme)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>
        <w:t>Fréquence à Madagascar : 8 – 10%</w:t>
      </w:r>
    </w:p>
    <w:p w:rsidR="005463C5" w:rsidRDefault="005463C5" w:rsidP="00D1393D">
      <w:pPr>
        <w:pStyle w:val="Titre3"/>
      </w:pPr>
      <w:r>
        <w:t xml:space="preserve">Cliniques : </w:t>
      </w:r>
    </w:p>
    <w:p w:rsidR="005463C5" w:rsidRPr="00535349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535349">
        <w:rPr>
          <w:b/>
          <w:bCs/>
        </w:rPr>
        <w:t xml:space="preserve">Manifestations paroxystiques :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Bonne santé en dehors des crises : </w:t>
      </w:r>
    </w:p>
    <w:p w:rsidR="005463C5" w:rsidRPr="00535349" w:rsidRDefault="005463C5" w:rsidP="00D1393D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535349">
        <w:rPr>
          <w:b/>
          <w:bCs/>
          <w:i/>
          <w:iCs/>
        </w:rPr>
        <w:t xml:space="preserve">Sujets sensibles : </w:t>
      </w:r>
    </w:p>
    <w:p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Crises hémolytiques graves après prise de médicaments </w:t>
      </w:r>
    </w:p>
    <w:p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Début brutal : </w:t>
      </w:r>
    </w:p>
    <w:p w:rsidR="005463C5" w:rsidRDefault="005463C5" w:rsidP="00D1393D">
      <w:pPr>
        <w:pStyle w:val="Paragraphedeliste"/>
        <w:numPr>
          <w:ilvl w:val="4"/>
          <w:numId w:val="1"/>
        </w:numPr>
      </w:pPr>
      <w:r>
        <w:t xml:space="preserve">36 – 72heures après prise médicamenteuse </w:t>
      </w:r>
    </w:p>
    <w:p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Anémie </w:t>
      </w:r>
    </w:p>
    <w:p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Fièvre  </w:t>
      </w:r>
    </w:p>
    <w:p w:rsidR="005463C5" w:rsidRDefault="005463C5" w:rsidP="00D1393D">
      <w:pPr>
        <w:pStyle w:val="Paragraphedeliste"/>
        <w:numPr>
          <w:ilvl w:val="5"/>
          <w:numId w:val="1"/>
        </w:numPr>
      </w:pPr>
      <w:r>
        <w:lastRenderedPageBreak/>
        <w:t>Céphalée</w:t>
      </w:r>
    </w:p>
    <w:p w:rsidR="005463C5" w:rsidRDefault="005463C5" w:rsidP="00D1393D">
      <w:pPr>
        <w:pStyle w:val="Paragraphedeliste"/>
        <w:numPr>
          <w:ilvl w:val="5"/>
          <w:numId w:val="1"/>
        </w:numPr>
      </w:pPr>
      <w:r>
        <w:t>Tachycardie</w:t>
      </w:r>
    </w:p>
    <w:p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Ictère intense </w:t>
      </w:r>
    </w:p>
    <w:p w:rsidR="005463C5" w:rsidRPr="00535349" w:rsidRDefault="005463C5" w:rsidP="00D1393D">
      <w:pPr>
        <w:pStyle w:val="Paragraphedeliste"/>
        <w:numPr>
          <w:ilvl w:val="3"/>
          <w:numId w:val="1"/>
        </w:numPr>
      </w:pPr>
      <w:r w:rsidRPr="00535349">
        <w:t xml:space="preserve">Phase de réparation : </w:t>
      </w:r>
    </w:p>
    <w:p w:rsidR="005463C5" w:rsidRDefault="005463C5" w:rsidP="00D1393D">
      <w:pPr>
        <w:pStyle w:val="Paragraphedeliste"/>
        <w:numPr>
          <w:ilvl w:val="4"/>
          <w:numId w:val="1"/>
        </w:numPr>
      </w:pPr>
      <w:r>
        <w:t xml:space="preserve">3 – 4 semaines même sans arrêt </w:t>
      </w:r>
    </w:p>
    <w:p w:rsidR="005463C5" w:rsidRDefault="005463C5" w:rsidP="00D1393D">
      <w:pPr>
        <w:pStyle w:val="Paragraphedeliste"/>
        <w:numPr>
          <w:ilvl w:val="4"/>
          <w:numId w:val="1"/>
        </w:numPr>
      </w:pPr>
      <w:r>
        <w:t xml:space="preserve">Régression de l’anémie et de l’ictère </w:t>
      </w:r>
    </w:p>
    <w:p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Phase réfractaire : 1 – 2 mois </w:t>
      </w:r>
    </w:p>
    <w:p w:rsidR="005463C5" w:rsidRPr="00535349" w:rsidRDefault="005463C5" w:rsidP="00D1393D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535349">
        <w:rPr>
          <w:b/>
          <w:bCs/>
          <w:i/>
          <w:iCs/>
        </w:rPr>
        <w:t xml:space="preserve">Sujets non sensibles : </w:t>
      </w:r>
    </w:p>
    <w:p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Anémie après ingestion de fèves : </w:t>
      </w:r>
    </w:p>
    <w:p w:rsidR="005463C5" w:rsidRDefault="005463C5" w:rsidP="00D1393D">
      <w:pPr>
        <w:pStyle w:val="Paragraphedeliste"/>
        <w:numPr>
          <w:ilvl w:val="4"/>
          <w:numId w:val="1"/>
        </w:numPr>
      </w:pPr>
      <w:r>
        <w:t xml:space="preserve">Forme minime : </w:t>
      </w:r>
    </w:p>
    <w:p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Ictère + urticaire </w:t>
      </w:r>
    </w:p>
    <w:p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Anémie discrète </w:t>
      </w:r>
    </w:p>
    <w:p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Céphalées, nausées </w:t>
      </w:r>
    </w:p>
    <w:p w:rsidR="005463C5" w:rsidRDefault="005463C5" w:rsidP="00D1393D">
      <w:pPr>
        <w:pStyle w:val="Paragraphedeliste"/>
        <w:numPr>
          <w:ilvl w:val="4"/>
          <w:numId w:val="1"/>
        </w:numPr>
      </w:pPr>
      <w:r>
        <w:t xml:space="preserve">Forme gravissime : </w:t>
      </w:r>
    </w:p>
    <w:p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Hémolyse grave : période réfractaire </w:t>
      </w:r>
    </w:p>
    <w:p w:rsidR="005463C5" w:rsidRPr="00535349" w:rsidRDefault="005463C5" w:rsidP="00D1393D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535349">
        <w:rPr>
          <w:b/>
          <w:bCs/>
          <w:i/>
          <w:iCs/>
        </w:rPr>
        <w:t xml:space="preserve">Ictère néonatale : </w:t>
      </w:r>
    </w:p>
    <w:p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Ictère néonatal précoce, grave </w:t>
      </w:r>
    </w:p>
    <w:p w:rsidR="005463C5" w:rsidRDefault="005463C5" w:rsidP="00D1393D">
      <w:pPr>
        <w:pStyle w:val="Paragraphedeliste"/>
        <w:numPr>
          <w:ilvl w:val="4"/>
          <w:numId w:val="1"/>
        </w:numPr>
      </w:pPr>
      <w:r>
        <w:t xml:space="preserve">Bilirubine libre élevée </w:t>
      </w:r>
    </w:p>
    <w:p w:rsidR="005463C5" w:rsidRDefault="005463C5" w:rsidP="00D1393D">
      <w:pPr>
        <w:pStyle w:val="Paragraphedeliste"/>
        <w:numPr>
          <w:ilvl w:val="4"/>
          <w:numId w:val="1"/>
        </w:numPr>
      </w:pPr>
      <w:r>
        <w:t xml:space="preserve">Identique à l’ictère de l’IFM </w:t>
      </w:r>
    </w:p>
    <w:p w:rsidR="005463C5" w:rsidRDefault="005463C5" w:rsidP="00D1393D">
      <w:pPr>
        <w:pStyle w:val="Paragraphedeliste"/>
        <w:numPr>
          <w:ilvl w:val="5"/>
          <w:numId w:val="1"/>
        </w:numPr>
      </w:pPr>
      <w:r>
        <w:t>Accident unique</w:t>
      </w:r>
    </w:p>
    <w:p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Début d’une hémolyse chronique </w:t>
      </w:r>
    </w:p>
    <w:p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Inaugurant une sensibilité médicamenteuse </w:t>
      </w:r>
    </w:p>
    <w:p w:rsidR="005463C5" w:rsidRPr="00535349" w:rsidRDefault="005463C5" w:rsidP="00D1393D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535349">
        <w:rPr>
          <w:b/>
          <w:bCs/>
          <w:i/>
          <w:iCs/>
        </w:rPr>
        <w:t xml:space="preserve">Anémie hémolytique chronique : </w:t>
      </w:r>
    </w:p>
    <w:p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La plus rare </w:t>
      </w:r>
    </w:p>
    <w:p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Etat hémolytique continu </w:t>
      </w:r>
    </w:p>
    <w:p w:rsidR="005463C5" w:rsidRDefault="005463C5" w:rsidP="00D1393D">
      <w:pPr>
        <w:pStyle w:val="Titre3"/>
      </w:pPr>
      <w:r>
        <w:t xml:space="preserve">Examen biologiques : </w:t>
      </w:r>
    </w:p>
    <w:p w:rsidR="005463C5" w:rsidRPr="00535349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535349">
        <w:rPr>
          <w:b/>
          <w:bCs/>
        </w:rPr>
        <w:t xml:space="preserve">Test d’hémolyse :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Positif au cours des crises :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Bilirubine élevée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Anémie régénérative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Fer sérique élevée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Haptoglobine diminuée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Diminution de la durée de vie des hématies </w:t>
      </w:r>
    </w:p>
    <w:p w:rsidR="005463C5" w:rsidRPr="00535349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535349">
        <w:rPr>
          <w:b/>
          <w:bCs/>
        </w:rPr>
        <w:t xml:space="preserve">Origine enzymatique de l’hémolyse : </w:t>
      </w:r>
    </w:p>
    <w:p w:rsidR="005463C5" w:rsidRPr="00535349" w:rsidRDefault="005463C5" w:rsidP="00D1393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35349">
        <w:rPr>
          <w:b/>
          <w:bCs/>
          <w:i/>
          <w:iCs/>
        </w:rPr>
        <w:t xml:space="preserve">Tests indirects :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Corps de Heinz : </w:t>
      </w:r>
    </w:p>
    <w:p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Par incubation des hématies avec un oxydant, corps bleu dans le cytoplasme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Stabilité au glutathion réduit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>Méthémoglobinémie résiduelle : élevée après oxydation</w:t>
      </w:r>
    </w:p>
    <w:p w:rsidR="005463C5" w:rsidRPr="00535349" w:rsidRDefault="005463C5" w:rsidP="00D1393D">
      <w:pPr>
        <w:pStyle w:val="Paragraphedeliste"/>
        <w:numPr>
          <w:ilvl w:val="1"/>
          <w:numId w:val="1"/>
        </w:numPr>
        <w:rPr>
          <w:b/>
          <w:bCs/>
        </w:rPr>
      </w:pPr>
      <w:r w:rsidRPr="00535349">
        <w:rPr>
          <w:b/>
          <w:bCs/>
        </w:rPr>
        <w:t xml:space="preserve">Tests directs :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Dosage de l’activité enzymatique de la G6PD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Test </w:t>
      </w:r>
      <w:proofErr w:type="spellStart"/>
      <w:r>
        <w:t>immunochromatographique</w:t>
      </w:r>
      <w:proofErr w:type="spellEnd"/>
      <w:r>
        <w:t xml:space="preserve">, test rapide </w:t>
      </w:r>
    </w:p>
    <w:p w:rsidR="005463C5" w:rsidRDefault="005463C5" w:rsidP="00D1393D">
      <w:pPr>
        <w:pStyle w:val="Titre3"/>
      </w:pPr>
      <w:r>
        <w:t xml:space="preserve">Traitement : </w:t>
      </w:r>
    </w:p>
    <w:p w:rsidR="005463C5" w:rsidRPr="00255E86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255E86">
        <w:rPr>
          <w:b/>
          <w:bCs/>
        </w:rPr>
        <w:t xml:space="preserve">Prophylaxie :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lastRenderedPageBreak/>
        <w:t xml:space="preserve">Interdiction des aliments ou médicaments suspects :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>Sulfamides (antidiabétiques)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Antalgiques : aspirine, </w:t>
      </w:r>
      <w:proofErr w:type="spellStart"/>
      <w:r>
        <w:t>phénacétine</w:t>
      </w:r>
      <w:proofErr w:type="spellEnd"/>
      <w:r>
        <w:t xml:space="preserve">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Antipaludéens de synthèse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Bactériostatiques : </w:t>
      </w:r>
      <w:proofErr w:type="spellStart"/>
      <w:r>
        <w:t>nitrofurantoïne</w:t>
      </w:r>
      <w:proofErr w:type="spellEnd"/>
      <w:r>
        <w:t xml:space="preserve">, chloramphénicol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Toute une liste de médicaments pour </w:t>
      </w:r>
      <w:proofErr w:type="spellStart"/>
      <w:r>
        <w:t>actuelleent</w:t>
      </w:r>
      <w:proofErr w:type="spellEnd"/>
      <w:r>
        <w:t xml:space="preserve"> : Vit K, Vit C, bleu de méthylène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Les substances ne sont pas nécessairement dangereuses chez les sujets déficients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A éviter en raison du polymorphisme de l’affection, tolérance imprévisible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Liste non exhaustive </w:t>
      </w:r>
    </w:p>
    <w:p w:rsidR="005463C5" w:rsidRPr="00255E86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255E86">
        <w:rPr>
          <w:b/>
          <w:bCs/>
        </w:rPr>
        <w:t xml:space="preserve">Traitement symptomatique :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Si hémolyse aiguë :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Arrêt médicament, prise d’acide folique per os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Transfusion sanguine si anémie mal tolérée </w:t>
      </w:r>
    </w:p>
    <w:p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Epurations extra-rénales si uricémie élevée (Dialyse) : l’acide urique est un produit de dégradation des GR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>Splénectomie (discutés)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 w:rsidRPr="00255E86">
        <w:rPr>
          <w:b/>
          <w:bCs/>
        </w:rPr>
        <w:t xml:space="preserve">NB : </w:t>
      </w:r>
      <w:r>
        <w:t>éviter de donner du fer si anémie hémolytique parce que le fer reste dans le sang (l’organisme ne peut pas éliminer le fer, il sera réutilisé)</w:t>
      </w:r>
    </w:p>
    <w:p w:rsidR="005463C5" w:rsidRDefault="005463C5" w:rsidP="00D1393D">
      <w:pPr>
        <w:pStyle w:val="Titre2"/>
      </w:pPr>
      <w:r>
        <w:t xml:space="preserve">Déficit en pyruvate Kinase : </w:t>
      </w:r>
    </w:p>
    <w:p w:rsidR="005463C5" w:rsidRPr="007044C6" w:rsidRDefault="005463C5" w:rsidP="00D1393D">
      <w:pPr>
        <w:pStyle w:val="Titre3"/>
      </w:pPr>
      <w:r>
        <w:t>Diagnostic :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Transmission sur un mode autosomique récessif, hétérozygote sans aucune anomalies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Tableau clinique et biologique :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Hémolyse 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>Anémie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>Ictère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r>
        <w:t>Splénomégalie</w:t>
      </w:r>
    </w:p>
    <w:p w:rsidR="005463C5" w:rsidRDefault="005463C5" w:rsidP="00D1393D">
      <w:pPr>
        <w:pStyle w:val="Paragraphedeliste"/>
        <w:numPr>
          <w:ilvl w:val="1"/>
          <w:numId w:val="1"/>
        </w:numPr>
      </w:pPr>
      <w:proofErr w:type="spellStart"/>
      <w:r>
        <w:t>Hyperbilirubinémie</w:t>
      </w:r>
      <w:proofErr w:type="spellEnd"/>
      <w:r>
        <w:t xml:space="preserve"> totale à prédominance libre et haptoglobine effondré </w:t>
      </w:r>
    </w:p>
    <w:p w:rsidR="005463C5" w:rsidRDefault="005463C5" w:rsidP="00D1393D">
      <w:pPr>
        <w:pStyle w:val="Titre3"/>
      </w:pPr>
      <w:r>
        <w:t xml:space="preserve">Traitement :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Pas de traitement spécifique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Transfusion pouvant être nécessaire </w:t>
      </w:r>
    </w:p>
    <w:p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Splénectomie permet d’espacer les transfusions, sans faire disparaître l’hémolyse </w:t>
      </w:r>
    </w:p>
    <w:p w:rsidR="004D3DAB" w:rsidRDefault="004D3DAB"/>
    <w:sectPr w:rsidR="004D3DAB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12067"/>
    <w:multiLevelType w:val="hybridMultilevel"/>
    <w:tmpl w:val="82160C3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99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C5"/>
    <w:rsid w:val="002227D3"/>
    <w:rsid w:val="004D3DAB"/>
    <w:rsid w:val="005463C5"/>
    <w:rsid w:val="005F5B1B"/>
    <w:rsid w:val="00620B83"/>
    <w:rsid w:val="00911179"/>
    <w:rsid w:val="009E48A4"/>
    <w:rsid w:val="009F0590"/>
    <w:rsid w:val="00A15F22"/>
    <w:rsid w:val="00B7070B"/>
    <w:rsid w:val="00CC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ED859D-5BCB-0D4C-A826-951CA1CD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Paragraphedeliste">
    <w:name w:val="List Paragraph"/>
    <w:basedOn w:val="Normal"/>
    <w:uiPriority w:val="34"/>
    <w:qFormat/>
    <w:rsid w:val="005463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hématologie.dotx</Template>
  <TotalTime>0</TotalTime>
  <Pages>5</Pages>
  <Words>975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</cp:revision>
  <dcterms:created xsi:type="dcterms:W3CDTF">2025-01-30T17:44:00Z</dcterms:created>
  <dcterms:modified xsi:type="dcterms:W3CDTF">2025-01-30T17:44:00Z</dcterms:modified>
</cp:coreProperties>
</file>