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 xml:space="preserve">Anémie mégalocytaire mégaloblastique : 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Anémie : </w:t>
      </w:r>
    </w:p>
    <w:p>
      <w:pPr>
        <w:pStyle w:val="style179"/>
        <w:numPr>
          <w:ilvl w:val="1"/>
          <w:numId w:val="1"/>
        </w:numPr>
        <w:rPr/>
      </w:pPr>
      <w:r>
        <w:t xml:space="preserve">Dans le sang : mégalocytaire (VGM) </w:t>
      </w:r>
    </w:p>
    <w:p>
      <w:pPr>
        <w:pStyle w:val="style179"/>
        <w:numPr>
          <w:ilvl w:val="1"/>
          <w:numId w:val="1"/>
        </w:numPr>
        <w:rPr/>
      </w:pPr>
      <w:r>
        <w:t xml:space="preserve">Dans la moelle : mégaloblastique 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Cause :</w:t>
      </w:r>
    </w:p>
    <w:p>
      <w:pPr>
        <w:pStyle w:val="style179"/>
        <w:numPr>
          <w:ilvl w:val="1"/>
          <w:numId w:val="1"/>
        </w:numPr>
        <w:rPr/>
      </w:pPr>
      <w:r>
        <w:t xml:space="preserve">Déficit en Vit B12 et/ou acide folique (arrêt de la mitose) </w:t>
      </w:r>
    </w:p>
    <w:p>
      <w:pPr>
        <w:pStyle w:val="style1"/>
        <w:rPr/>
      </w:pPr>
      <w:r>
        <w:t xml:space="preserve">Anémie de BIERMER : </w:t>
      </w:r>
    </w:p>
    <w:p>
      <w:pPr>
        <w:pStyle w:val="style179"/>
        <w:numPr>
          <w:ilvl w:val="0"/>
          <w:numId w:val="1"/>
        </w:numPr>
        <w:rPr/>
      </w:pPr>
      <w:r>
        <w:t xml:space="preserve">AMM </w:t>
      </w:r>
    </w:p>
    <w:p>
      <w:pPr>
        <w:pStyle w:val="style179"/>
        <w:numPr>
          <w:ilvl w:val="0"/>
          <w:numId w:val="1"/>
        </w:numPr>
        <w:rPr/>
      </w:pPr>
      <w:r>
        <w:t xml:space="preserve">Carence en vitamine B12 </w:t>
      </w:r>
    </w:p>
    <w:p>
      <w:pPr>
        <w:pStyle w:val="style179"/>
        <w:numPr>
          <w:ilvl w:val="0"/>
          <w:numId w:val="1"/>
        </w:numPr>
        <w:rPr/>
      </w:pPr>
      <w:r>
        <w:t xml:space="preserve">Absence de facteur intrinsèque dans le suc gastrique </w:t>
      </w:r>
    </w:p>
    <w:p>
      <w:pPr>
        <w:pStyle w:val="style2"/>
        <w:rPr/>
      </w:pPr>
      <w:r>
        <w:t>Clinique :</w:t>
      </w:r>
    </w:p>
    <w:p>
      <w:pPr>
        <w:pStyle w:val="style179"/>
        <w:numPr>
          <w:ilvl w:val="0"/>
          <w:numId w:val="1"/>
        </w:numPr>
        <w:rPr/>
      </w:pPr>
      <w:r>
        <w:rPr>
          <w:b/>
          <w:bCs/>
        </w:rPr>
        <w:t xml:space="preserve">Phase de début : </w:t>
      </w:r>
      <w:r>
        <w:t xml:space="preserve">insidieux / dyspepsie / syndrome anémique </w:t>
      </w:r>
    </w:p>
    <w:p>
      <w:pPr>
        <w:pStyle w:val="style179"/>
        <w:numPr>
          <w:ilvl w:val="0"/>
          <w:numId w:val="1"/>
        </w:numPr>
        <w:rPr/>
      </w:pPr>
      <w:r>
        <w:rPr>
          <w:b/>
          <w:bCs/>
        </w:rPr>
        <w:t xml:space="preserve">Phase d’état : </w:t>
      </w:r>
      <w:r>
        <w:t>3 syndromes à prédominance variable :</w:t>
      </w:r>
    </w:p>
    <w:p>
      <w:pPr>
        <w:pStyle w:val="style179"/>
        <w:numPr>
          <w:ilvl w:val="1"/>
          <w:numId w:val="1"/>
        </w:numPr>
        <w:rPr/>
      </w:pPr>
      <w:r>
        <w:t xml:space="preserve">Syndrome anémique </w:t>
      </w:r>
    </w:p>
    <w:p>
      <w:pPr>
        <w:pStyle w:val="style179"/>
        <w:numPr>
          <w:ilvl w:val="1"/>
          <w:numId w:val="1"/>
        </w:numPr>
        <w:rPr/>
      </w:pPr>
      <w:r>
        <w:t xml:space="preserve">Signe digestif </w:t>
      </w:r>
    </w:p>
    <w:p>
      <w:pPr>
        <w:pStyle w:val="style179"/>
        <w:numPr>
          <w:ilvl w:val="1"/>
          <w:numId w:val="1"/>
        </w:numPr>
        <w:rPr/>
      </w:pPr>
      <w:r>
        <w:t xml:space="preserve">Signe neurologique </w:t>
      </w:r>
    </w:p>
    <w:p>
      <w:pPr>
        <w:pStyle w:val="style2"/>
        <w:rPr/>
      </w:pPr>
      <w:r>
        <w:t>Biologique :</w:t>
      </w:r>
    </w:p>
    <w:p>
      <w:pPr>
        <w:pStyle w:val="style179"/>
        <w:numPr>
          <w:ilvl w:val="0"/>
          <w:numId w:val="1"/>
        </w:numPr>
        <w:rPr/>
      </w:pPr>
      <w:r>
        <w:t xml:space="preserve">Anémie </w:t>
      </w:r>
      <w:r>
        <w:t>normochrome</w:t>
      </w:r>
      <w:r>
        <w:t xml:space="preserve">, macrocytaire ou mégalocytaire </w:t>
      </w:r>
    </w:p>
    <w:p>
      <w:pPr>
        <w:pStyle w:val="style179"/>
        <w:numPr>
          <w:ilvl w:val="0"/>
          <w:numId w:val="1"/>
        </w:numPr>
        <w:rPr/>
      </w:pPr>
      <w:r>
        <w:t>Neutropénie  discrète, thrombopénie  discrète</w:t>
      </w:r>
    </w:p>
    <w:p>
      <w:pPr>
        <w:pStyle w:val="style179"/>
        <w:numPr>
          <w:ilvl w:val="0"/>
          <w:numId w:val="1"/>
        </w:numPr>
        <w:rPr/>
      </w:pPr>
      <w:r>
        <w:t>Réticulocytose +++, fer sérique augmenté</w:t>
      </w:r>
    </w:p>
    <w:p>
      <w:pPr>
        <w:pStyle w:val="style179"/>
        <w:numPr>
          <w:ilvl w:val="0"/>
          <w:numId w:val="1"/>
        </w:numPr>
        <w:rPr/>
      </w:pPr>
      <w:r>
        <w:t xml:space="preserve">Moelle mégaloblastique </w:t>
      </w:r>
    </w:p>
    <w:p>
      <w:pPr>
        <w:pStyle w:val="style179"/>
        <w:numPr>
          <w:ilvl w:val="0"/>
          <w:numId w:val="1"/>
        </w:numPr>
        <w:rPr/>
      </w:pPr>
      <w:r>
        <w:t xml:space="preserve">Morts des érythroblastes dans la moelle libère l’hémoglobine ; haptoglobine diminuée, augmentation bilirubine non conjuguée et LDH </w:t>
      </w:r>
    </w:p>
    <w:p>
      <w:pPr>
        <w:pStyle w:val="style179"/>
        <w:numPr>
          <w:ilvl w:val="0"/>
          <w:numId w:val="1"/>
        </w:numPr>
        <w:rPr/>
      </w:pPr>
      <w:r>
        <w:t xml:space="preserve">Autres : </w:t>
      </w:r>
    </w:p>
    <w:p>
      <w:pPr>
        <w:pStyle w:val="style179"/>
        <w:numPr>
          <w:ilvl w:val="1"/>
          <w:numId w:val="1"/>
        </w:numPr>
        <w:rPr/>
      </w:pPr>
      <w:r>
        <w:t xml:space="preserve">Vitamine B12 </w:t>
      </w:r>
    </w:p>
    <w:p>
      <w:pPr>
        <w:pStyle w:val="style179"/>
        <w:numPr>
          <w:ilvl w:val="2"/>
          <w:numId w:val="1"/>
        </w:numPr>
        <w:rPr/>
      </w:pPr>
      <w:r>
        <w:t>Taux diminuée &lt; 50 mg/ml</w:t>
      </w:r>
    </w:p>
    <w:p>
      <w:pPr>
        <w:pStyle w:val="style179"/>
        <w:numPr>
          <w:ilvl w:val="2"/>
          <w:numId w:val="1"/>
        </w:numPr>
        <w:rPr/>
      </w:pPr>
      <w:r>
        <w:t xml:space="preserve">1µg de vitamine B12 en IM : réticulocytes +++ </w:t>
      </w:r>
    </w:p>
    <w:p>
      <w:pPr>
        <w:pStyle w:val="style179"/>
        <w:numPr>
          <w:ilvl w:val="1"/>
          <w:numId w:val="1"/>
        </w:numPr>
        <w:rPr/>
      </w:pPr>
      <w:r>
        <w:t xml:space="preserve">Déficit en facteur intrinsèque </w:t>
      </w:r>
    </w:p>
    <w:p>
      <w:pPr>
        <w:pStyle w:val="style179"/>
        <w:numPr>
          <w:ilvl w:val="1"/>
          <w:numId w:val="1"/>
        </w:numPr>
        <w:rPr/>
      </w:pPr>
      <w:r>
        <w:t xml:space="preserve">Tubage gastrique : achylie totale, permanente, </w:t>
      </w:r>
      <w:r>
        <w:t>histamino</w:t>
      </w:r>
      <w:r>
        <w:t xml:space="preserve">-résistante </w:t>
      </w:r>
    </w:p>
    <w:p>
      <w:pPr>
        <w:pStyle w:val="style179"/>
        <w:numPr>
          <w:ilvl w:val="1"/>
          <w:numId w:val="1"/>
        </w:numPr>
        <w:rPr/>
      </w:pPr>
      <w:r>
        <w:t xml:space="preserve">Test de Schilling : élimination urinaire de la vitamine B12 diminuée ; anticorps anti-estomac, anti-FI </w:t>
      </w:r>
    </w:p>
    <w:p>
      <w:pPr>
        <w:pStyle w:val="style2"/>
        <w:rPr/>
      </w:pPr>
      <w:r>
        <w:t>Traitement :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Traitement d’attaque : </w:t>
      </w:r>
    </w:p>
    <w:p>
      <w:pPr>
        <w:pStyle w:val="style179"/>
        <w:numPr>
          <w:ilvl w:val="1"/>
          <w:numId w:val="1"/>
        </w:numPr>
        <w:rPr/>
      </w:pPr>
      <w:r>
        <w:rPr>
          <w:b/>
          <w:bCs/>
          <w:i/>
          <w:iCs/>
          <w:color w:val="ff0000"/>
        </w:rPr>
        <w:t xml:space="preserve">Buts : </w:t>
      </w:r>
      <w:r>
        <w:t xml:space="preserve">réparer l’anémie et reconstituer les réserves </w:t>
      </w:r>
    </w:p>
    <w:p>
      <w:pPr>
        <w:pStyle w:val="style179"/>
        <w:numPr>
          <w:ilvl w:val="1"/>
          <w:numId w:val="1"/>
        </w:numPr>
        <w:rPr/>
      </w:pPr>
      <w:r>
        <w:t xml:space="preserve">1 mg </w:t>
      </w:r>
      <w:r>
        <w:t>Cyanocobalamine</w:t>
      </w:r>
      <w:r>
        <w:t xml:space="preserve"> en IM </w:t>
      </w:r>
    </w:p>
    <w:p>
      <w:pPr>
        <w:pStyle w:val="style179"/>
        <w:numPr>
          <w:ilvl w:val="1"/>
          <w:numId w:val="1"/>
        </w:numPr>
        <w:rPr/>
      </w:pPr>
      <w:r>
        <w:t xml:space="preserve">1 à 3 fois par semaine jusqu’à 10 ou 12 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Traitement d’entretien : </w:t>
      </w:r>
    </w:p>
    <w:p>
      <w:pPr>
        <w:pStyle w:val="style179"/>
        <w:numPr>
          <w:ilvl w:val="1"/>
          <w:numId w:val="1"/>
        </w:numPr>
        <w:rPr/>
      </w:pPr>
      <w:r>
        <w:t>Puis 1 in</w:t>
      </w:r>
      <w:r>
        <w:rPr>
          <w:lang w:val="en-US"/>
        </w:rPr>
        <w:t>j</w:t>
      </w:r>
      <w:r>
        <w:t xml:space="preserve">ection/mois ou tous les 3 mois 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Traitement Achylie :</w:t>
      </w:r>
    </w:p>
    <w:p>
      <w:pPr>
        <w:pStyle w:val="style179"/>
        <w:numPr>
          <w:ilvl w:val="1"/>
          <w:numId w:val="1"/>
        </w:numPr>
        <w:rPr/>
      </w:pPr>
      <w:r>
        <w:t xml:space="preserve">Substitutif / enzyme digestif </w:t>
      </w:r>
    </w:p>
    <w:p>
      <w:pPr>
        <w:pStyle w:val="style179"/>
        <w:numPr>
          <w:ilvl w:val="1"/>
          <w:numId w:val="1"/>
        </w:numPr>
        <w:rPr/>
      </w:pPr>
      <w:r>
        <w:t xml:space="preserve">Surveiller cancer de l’estomac </w:t>
      </w:r>
    </w:p>
    <w:p>
      <w:pPr>
        <w:pStyle w:val="style1"/>
        <w:rPr/>
      </w:pPr>
      <w:r>
        <w:t>Anémie PARA-BIERMERIENNE :</w:t>
      </w:r>
    </w:p>
    <w:p>
      <w:pPr>
        <w:pStyle w:val="style179"/>
        <w:numPr>
          <w:ilvl w:val="0"/>
          <w:numId w:val="1"/>
        </w:numPr>
        <w:rPr/>
      </w:pPr>
      <w:r>
        <w:rPr>
          <w:b/>
          <w:bCs/>
        </w:rPr>
        <w:t xml:space="preserve">Malabsorption : </w:t>
      </w:r>
      <w:r>
        <w:t xml:space="preserve">gastrique ou intestinale 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Déséquilibre entre apport et besoin : </w:t>
      </w:r>
    </w:p>
    <w:p>
      <w:pPr>
        <w:pStyle w:val="style179"/>
        <w:numPr>
          <w:ilvl w:val="1"/>
          <w:numId w:val="1"/>
        </w:numPr>
        <w:rPr/>
      </w:pPr>
      <w:r>
        <w:t xml:space="preserve">Végétarien </w:t>
      </w:r>
    </w:p>
    <w:p>
      <w:pPr>
        <w:pStyle w:val="style179"/>
        <w:numPr>
          <w:ilvl w:val="1"/>
          <w:numId w:val="1"/>
        </w:numPr>
        <w:rPr/>
      </w:pPr>
      <w:r>
        <w:t xml:space="preserve">Grossesses rapprochées </w:t>
      </w:r>
    </w:p>
    <w:p>
      <w:pPr>
        <w:pStyle w:val="style179"/>
        <w:numPr>
          <w:ilvl w:val="1"/>
          <w:numId w:val="1"/>
        </w:numPr>
        <w:rPr/>
      </w:pPr>
      <w:r>
        <w:t xml:space="preserve">Myéloprolifératif 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Blocage d’utilisation / médicaments : </w:t>
      </w:r>
    </w:p>
    <w:p>
      <w:pPr>
        <w:pStyle w:val="style179"/>
        <w:numPr>
          <w:ilvl w:val="1"/>
          <w:numId w:val="1"/>
        </w:numPr>
        <w:rPr/>
      </w:pPr>
      <w:r>
        <w:t xml:space="preserve">Antiépileptiques, </w:t>
      </w:r>
      <w:r>
        <w:t>antifoliques</w:t>
      </w:r>
      <w:r>
        <w:t xml:space="preserve"> </w:t>
      </w:r>
    </w:p>
    <w:p>
      <w:pPr>
        <w:pStyle w:val="style2"/>
        <w:rPr/>
      </w:pPr>
      <w:r>
        <w:t>Traitement anémie para-</w:t>
      </w:r>
      <w:r>
        <w:t>Biermérienne</w:t>
      </w:r>
      <w:r>
        <w:t xml:space="preserve"> : 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Traitement d’attaque : </w:t>
      </w:r>
    </w:p>
    <w:p>
      <w:pPr>
        <w:pStyle w:val="style179"/>
        <w:numPr>
          <w:ilvl w:val="1"/>
          <w:numId w:val="1"/>
        </w:numPr>
        <w:rPr/>
      </w:pPr>
      <w:r>
        <w:t>Cyanocobalamine</w:t>
      </w:r>
      <w:r>
        <w:t xml:space="preserve"> vitamine B12 500 – 1000 lambda/2j – 3 mois </w:t>
      </w:r>
    </w:p>
    <w:p>
      <w:pPr>
        <w:pStyle w:val="style179"/>
        <w:numPr>
          <w:ilvl w:val="1"/>
          <w:numId w:val="1"/>
        </w:numPr>
        <w:rPr/>
      </w:pPr>
      <w:r>
        <w:t xml:space="preserve">Acide folique 10 – 20 mg/j 3 – 4 mois 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Traitement d’entretien : </w:t>
      </w:r>
    </w:p>
    <w:p>
      <w:pPr>
        <w:pStyle w:val="style179"/>
        <w:numPr>
          <w:ilvl w:val="1"/>
          <w:numId w:val="1"/>
        </w:numPr>
        <w:rPr/>
      </w:pPr>
      <w:r>
        <w:t>1000U vitamine B12 en IM/mois</w:t>
      </w:r>
    </w:p>
    <w:p>
      <w:pPr>
        <w:pStyle w:val="style179"/>
        <w:numPr>
          <w:ilvl w:val="1"/>
          <w:numId w:val="1"/>
        </w:numPr>
        <w:rPr/>
      </w:pPr>
      <w:r>
        <w:t xml:space="preserve">Vitamine B12 + enzyme per os/jour </w:t>
      </w:r>
    </w:p>
    <w:p>
      <w:pPr>
        <w:pStyle w:val="style179"/>
        <w:numPr>
          <w:ilvl w:val="1"/>
          <w:numId w:val="1"/>
        </w:numPr>
        <w:rPr/>
      </w:pPr>
      <w:r>
        <w:t xml:space="preserve">1 – 2 comprimé </w:t>
      </w:r>
      <w:r>
        <w:t>Foldine</w:t>
      </w:r>
      <w:r>
        <w:rPr>
          <w:vertAlign w:val="superscript"/>
        </w:rPr>
        <w:t>®</w:t>
      </w:r>
      <w:r>
        <w:t xml:space="preserve">/jour, entérocolite </w:t>
      </w:r>
    </w:p>
    <w:p>
      <w:pPr>
        <w:pStyle w:val="style17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Traitement étiologique : </w:t>
      </w:r>
    </w:p>
    <w:p>
      <w:pPr>
        <w:pStyle w:val="style179"/>
        <w:numPr>
          <w:ilvl w:val="1"/>
          <w:numId w:val="1"/>
        </w:numPr>
        <w:rPr/>
      </w:pPr>
      <w:r>
        <w:t xml:space="preserve">Parasitose, dyspepsie, entérocolite </w:t>
      </w:r>
    </w:p>
    <w:p>
      <w:pPr>
        <w:pStyle w:val="style0"/>
        <w:rPr/>
      </w:pPr>
    </w:p>
    <w:sectPr>
      <w:headerReference w:type="default" r:id="rId2"/>
      <w:footerReference w:type="even" r:id="rId3"/>
      <w:footerReference w:type="default" r:id="rId4"/>
      <w:pgSz w:w="12240" w:h="15840" w:orient="portrait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French Script MT"/>
    <w:panose1 w:val="03020402040006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Book Antiqua"/>
    <w:panose1 w:val="02040602050003030304"/>
    <w:charset w:val="00"/>
    <w:family w:val="roman"/>
    <w:pitch w:val="variable"/>
    <w:sig w:usb0="00000287" w:usb1="00000000" w:usb2="00000000" w:usb3="00000000" w:csb0="000000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framePr w:wrap="none" w:hAnchor="margin" w:vAnchor="text" w:xAlign="center" w:y="1"/>
      <w:rPr>
        <w:rStyle w:val="style41"/>
      </w:rPr>
    </w:pPr>
    <w:r>
      <w:rPr>
        <w:rStyle w:val="style41"/>
      </w:rPr>
      <w:t xml:space="preserve">Page </w:t>
    </w:r>
    <w:r>
      <w:rPr>
        <w:rStyle w:val="style41"/>
      </w:rPr>
      <w:fldChar w:fldCharType="begin"/>
    </w:r>
    <w:r>
      <w:rPr>
        <w:rStyle w:val="style41"/>
      </w:rPr>
      <w:instrText xml:space="preserve"> PAGE </w:instrText>
    </w:r>
    <w:r>
      <w:rPr>
        <w:rStyle w:val="style41"/>
      </w:rPr>
      <w:fldChar w:fldCharType="end"/>
    </w:r>
    <w:r>
      <w:rPr>
        <w:rStyle w:val="style41"/>
      </w:rPr>
      <w:t xml:space="preserve"> sur </w:t>
    </w:r>
    <w:r>
      <w:rPr>
        <w:rStyle w:val="style41"/>
      </w:rPr>
      <w:fldChar w:fldCharType="begin"/>
    </w:r>
    <w:r>
      <w:rPr>
        <w:rStyle w:val="style41"/>
      </w:rPr>
      <w:instrText xml:space="preserve"> NUMPAGES </w:instrText>
    </w:r>
    <w:r>
      <w:rPr>
        <w:rStyle w:val="style41"/>
      </w:rPr>
      <w:fldChar w:fldCharType="end"/>
    </w:r>
  </w:p>
  <w:p>
    <w:pPr>
      <w:pStyle w:val="style32"/>
      <w:rPr/>
    </w:pP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framePr w:wrap="none" w:hAnchor="margin" w:vAnchor="text" w:xAlign="center" w:y="1"/>
      <w:rPr>
        <w:rStyle w:val="style41"/>
      </w:rPr>
    </w:pPr>
    <w:r>
      <w:rPr>
        <w:rStyle w:val="style41"/>
      </w:rPr>
      <w:t xml:space="preserve">Page </w:t>
    </w:r>
    <w:r>
      <w:rPr>
        <w:rStyle w:val="style41"/>
      </w:rPr>
      <w:fldChar w:fldCharType="begin"/>
    </w:r>
    <w:r>
      <w:rPr>
        <w:rStyle w:val="style41"/>
      </w:rPr>
      <w:instrText xml:space="preserve"> PAGE </w:instrText>
    </w:r>
    <w:r>
      <w:rPr>
        <w:rStyle w:val="style41"/>
      </w:rPr>
      <w:fldChar w:fldCharType="separate"/>
    </w:r>
    <w:r>
      <w:rPr>
        <w:rStyle w:val="style41"/>
        <w:noProof/>
      </w:rPr>
      <w:t>1</w:t>
    </w:r>
    <w:r>
      <w:rPr>
        <w:rStyle w:val="style41"/>
      </w:rPr>
      <w:fldChar w:fldCharType="end"/>
    </w:r>
    <w:r>
      <w:rPr>
        <w:rStyle w:val="style41"/>
      </w:rPr>
      <w:t xml:space="preserve"> sur </w:t>
    </w:r>
    <w:r>
      <w:rPr>
        <w:rStyle w:val="style41"/>
      </w:rPr>
      <w:fldChar w:fldCharType="begin"/>
    </w:r>
    <w:r>
      <w:rPr>
        <w:rStyle w:val="style41"/>
      </w:rPr>
      <w:instrText xml:space="preserve"> NUMPAGES </w:instrText>
    </w:r>
    <w:r>
      <w:rPr>
        <w:rStyle w:val="style41"/>
      </w:rPr>
      <w:fldChar w:fldCharType="separate"/>
    </w:r>
    <w:r>
      <w:rPr>
        <w:rStyle w:val="style41"/>
        <w:noProof/>
      </w:rPr>
      <w:t>2</w:t>
    </w:r>
    <w:r>
      <w:rPr>
        <w:rStyle w:val="style41"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tab/>
    </w:r>
    <w:r>
      <w:tab/>
    </w:r>
    <w:r>
      <w:t>Prise de note : Johary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2160C3E"/>
    <w:lvl w:ilvl="0">
      <w:start w:val="1"/>
      <w:numFmt w:val="bullet"/>
      <w:lvlText w:val="-"/>
      <w:lvlJc w:val="left"/>
      <w:pPr>
        <w:ind w:left="720" w:hanging="360"/>
      </w:pPr>
      <w:rPr>
        <w:rFonts w:ascii="Cambria" w:cs="宋体" w:eastAsia="宋体" w:hAnsi="Cambria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宋体" w:hAnsi="Cambria"/>
        <w:lang w:val="fr-FR" w:bidi="ar-SA" w:eastAsia="en-US"/>
      </w:rPr>
    </w:rPrDefault>
    <w:pPrDefault>
      <w:pPr>
        <w:spacing w:before="100"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pBdr>
        <w:left w:val="single" w:sz="24" w:space="0" w:color="ff0000"/>
        <w:right w:val="single" w:sz="24" w:space="0" w:color="ff0000"/>
        <w:top w:val="single" w:sz="24" w:space="0" w:color="ff0000"/>
        <w:bottom w:val="single" w:sz="24" w:space="0" w:color="ff0000"/>
      </w:pBdr>
      <w:shd w:val="clear" w:color="auto" w:fill="ff0000"/>
      <w:spacing w:after="0"/>
      <w:outlineLvl w:val="0"/>
    </w:pPr>
    <w:rPr>
      <w:b/>
      <w:caps/>
      <w:color w:val="ffffff"/>
      <w:spacing w:val="15"/>
      <w:sz w:val="22"/>
      <w:szCs w:val="22"/>
    </w:rPr>
  </w:style>
  <w:style w:type="paragraph" w:styleId="style2">
    <w:name w:val="heading 2"/>
    <w:basedOn w:val="style0"/>
    <w:next w:val="style0"/>
    <w:link w:val="style4098"/>
    <w:qFormat/>
    <w:uiPriority w:val="9"/>
    <w:pPr>
      <w:pBdr>
        <w:left w:val="single" w:sz="24" w:space="0" w:color="ffcccc"/>
        <w:right w:val="single" w:sz="24" w:space="0" w:color="ffcccc"/>
        <w:top w:val="single" w:sz="24" w:space="0" w:color="ffcccc"/>
        <w:bottom w:val="single" w:sz="24" w:space="0" w:color="ffcccc"/>
      </w:pBdr>
      <w:shd w:val="clear" w:color="auto" w:fill="ffcccc"/>
      <w:spacing w:after="0"/>
      <w:outlineLvl w:val="1"/>
    </w:pPr>
    <w:rPr>
      <w:rFonts w:ascii="Cambria" w:hAnsi="Cambria"/>
      <w:b/>
      <w:color w:val="000000"/>
      <w:spacing w:val="15"/>
      <w:sz w:val="22"/>
    </w:rPr>
  </w:style>
  <w:style w:type="paragraph" w:styleId="style3">
    <w:name w:val="heading 3"/>
    <w:basedOn w:val="style0"/>
    <w:next w:val="style0"/>
    <w:link w:val="style4099"/>
    <w:qFormat/>
    <w:uiPriority w:val="9"/>
    <w:pPr>
      <w:pBdr>
        <w:left w:val="single" w:sz="6" w:space="4" w:color="ff0000"/>
        <w:right w:val="single" w:sz="6" w:space="4" w:color="ff0000"/>
        <w:top w:val="single" w:sz="6" w:space="2" w:color="ff0000"/>
      </w:pBdr>
      <w:spacing w:before="300" w:after="0"/>
      <w:outlineLvl w:val="2"/>
    </w:pPr>
    <w:rPr>
      <w:b/>
      <w:color w:val="ff0000"/>
      <w:spacing w:val="15"/>
    </w:rPr>
  </w:style>
  <w:style w:type="paragraph" w:styleId="style4">
    <w:name w:val="heading 4"/>
    <w:basedOn w:val="style0"/>
    <w:next w:val="style0"/>
    <w:link w:val="style4100"/>
    <w:qFormat/>
    <w:uiPriority w:val="9"/>
    <w:pPr>
      <w:pBdr>
        <w:left w:val="dotted" w:sz="6" w:space="4" w:color="ff0000"/>
        <w:right w:val="dotted" w:sz="6" w:space="4" w:color="ff0000"/>
        <w:top w:val="dotted" w:sz="6" w:space="2" w:color="ff0000"/>
      </w:pBdr>
      <w:spacing w:before="200" w:after="0"/>
      <w:outlineLvl w:val="3"/>
    </w:pPr>
    <w:rPr>
      <w:b/>
      <w:color w:val="bf0000"/>
      <w:spacing w:val="10"/>
    </w:rPr>
  </w:style>
  <w:style w:type="paragraph" w:styleId="style5">
    <w:name w:val="heading 5"/>
    <w:basedOn w:val="style0"/>
    <w:next w:val="style0"/>
    <w:link w:val="style4101"/>
    <w:qFormat/>
    <w:uiPriority w:val="9"/>
    <w:pPr>
      <w:pBdr>
        <w:left w:val="single" w:sz="4" w:space="4" w:color="ff0000"/>
        <w:right w:val="single" w:sz="4" w:space="4" w:color="ff0000"/>
        <w:bottom w:val="single" w:sz="4" w:space="1" w:color="ff0000"/>
      </w:pBdr>
      <w:spacing w:before="200" w:after="0"/>
      <w:outlineLvl w:val="4"/>
    </w:pPr>
    <w:rPr>
      <w:b/>
      <w:smallCaps/>
      <w:color w:val="ff0000"/>
      <w:spacing w:val="10"/>
    </w:rPr>
  </w:style>
  <w:style w:type="paragraph" w:styleId="style6">
    <w:name w:val="heading 6"/>
    <w:basedOn w:val="style0"/>
    <w:next w:val="style0"/>
    <w:link w:val="style4102"/>
    <w:qFormat/>
    <w:uiPriority w:val="9"/>
    <w:pPr>
      <w:pBdr>
        <w:bottom w:val="dotted" w:sz="6" w:space="1" w:color="ff0000"/>
      </w:pBdr>
      <w:spacing w:before="200" w:after="0"/>
      <w:outlineLvl w:val="5"/>
    </w:pPr>
    <w:rPr>
      <w:rFonts w:ascii="French Script MT" w:hAnsi="French Script MT"/>
      <w:color w:val="bf0000"/>
      <w:spacing w:val="10"/>
    </w:rPr>
  </w:style>
  <w:style w:type="paragraph" w:styleId="style7">
    <w:name w:val="heading 7"/>
    <w:basedOn w:val="style0"/>
    <w:next w:val="style0"/>
    <w:link w:val="style4103"/>
    <w:qFormat/>
    <w:uiPriority w:val="9"/>
    <w:pPr>
      <w:spacing w:before="200" w:after="0"/>
      <w:outlineLvl w:val="6"/>
    </w:pPr>
    <w:rPr>
      <w:caps/>
      <w:color w:val="bf0000"/>
      <w:spacing w:val="10"/>
    </w:rPr>
  </w:style>
  <w:style w:type="paragraph" w:styleId="style8">
    <w:name w:val="heading 8"/>
    <w:basedOn w:val="style0"/>
    <w:next w:val="style0"/>
    <w:link w:val="style4104"/>
    <w:qFormat/>
    <w:uiPriority w:val="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style9">
    <w:name w:val="heading 9"/>
    <w:basedOn w:val="style0"/>
    <w:next w:val="style0"/>
    <w:link w:val="style4105"/>
    <w:qFormat/>
    <w:uiPriority w:val="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b/>
      <w:caps/>
      <w:color w:val="ffffff"/>
      <w:spacing w:val="15"/>
      <w:sz w:val="22"/>
      <w:szCs w:val="22"/>
      <w:shd w:val="clear" w:color="auto" w:fill="ff0000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Cambria" w:hAnsi="Cambria"/>
      <w:b/>
      <w:color w:val="000000"/>
      <w:spacing w:val="15"/>
      <w:sz w:val="22"/>
      <w:shd w:val="clear" w:color="auto" w:fill="ffcccc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b/>
      <w:color w:val="ff0000"/>
      <w:spacing w:val="15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b/>
      <w:color w:val="bf0000"/>
      <w:spacing w:val="10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b/>
      <w:smallCaps/>
      <w:color w:val="ff0000"/>
      <w:spacing w:val="10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French Script MT" w:hAnsi="French Script MT"/>
      <w:color w:val="bf0000"/>
      <w:spacing w:val="10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caps/>
      <w:color w:val="bf0000"/>
      <w:spacing w:val="10"/>
    </w:rPr>
  </w:style>
  <w:style w:type="character" w:customStyle="1" w:styleId="style4104">
    <w:name w:val="Titre 8 Car"/>
    <w:basedOn w:val="style65"/>
    <w:next w:val="style4104"/>
    <w:link w:val="style8"/>
    <w:uiPriority w:val="9"/>
    <w:rPr>
      <w:caps/>
      <w:spacing w:val="10"/>
      <w:sz w:val="18"/>
      <w:szCs w:val="18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i/>
      <w:iCs/>
      <w:caps/>
      <w:spacing w:val="10"/>
      <w:sz w:val="18"/>
      <w:szCs w:val="18"/>
    </w:rPr>
  </w:style>
  <w:style w:type="paragraph" w:styleId="style34">
    <w:name w:val="caption"/>
    <w:basedOn w:val="style0"/>
    <w:next w:val="style0"/>
    <w:qFormat/>
    <w:uiPriority w:val="35"/>
    <w:pPr/>
    <w:rPr>
      <w:b/>
      <w:bCs/>
      <w:color w:val="bf0000"/>
      <w:sz w:val="16"/>
      <w:szCs w:val="16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before="0" w:after="0"/>
      <w:jc w:val="center"/>
    </w:pPr>
    <w:rPr>
      <w:rFonts w:ascii="Book Antiqua" w:cs="宋体" w:eastAsia="宋体" w:hAnsi="Book Antiqua"/>
      <w:b/>
      <w:caps/>
      <w:color w:val="ff0000"/>
      <w:spacing w:val="10"/>
      <w:sz w:val="36"/>
      <w:szCs w:val="52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Book Antiqua" w:cs="宋体" w:eastAsia="宋体" w:hAnsi="Book Antiqua"/>
      <w:b/>
      <w:caps/>
      <w:color w:val="ff0000"/>
      <w:spacing w:val="10"/>
      <w:sz w:val="36"/>
      <w:szCs w:val="52"/>
    </w:rPr>
  </w:style>
  <w:style w:type="paragraph" w:styleId="style74">
    <w:name w:val="Subtitle"/>
    <w:basedOn w:val="style0"/>
    <w:next w:val="style0"/>
    <w:link w:val="style4107"/>
    <w:qFormat/>
    <w:uiPriority w:val="11"/>
    <w:pPr>
      <w:spacing w:before="0" w:after="500" w:lineRule="auto" w:line="240"/>
    </w:pPr>
    <w:rPr>
      <w:caps/>
      <w:color w:val="595959"/>
      <w:spacing w:val="10"/>
      <w:sz w:val="21"/>
      <w:szCs w:val="21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aps/>
      <w:color w:val="595959"/>
      <w:spacing w:val="10"/>
      <w:sz w:val="21"/>
      <w:szCs w:val="21"/>
    </w:rPr>
  </w:style>
  <w:style w:type="character" w:styleId="style87">
    <w:name w:val="Strong"/>
    <w:next w:val="style87"/>
    <w:qFormat/>
    <w:uiPriority w:val="22"/>
    <w:rPr>
      <w:b/>
      <w:bCs/>
    </w:rPr>
  </w:style>
  <w:style w:type="character" w:styleId="style88">
    <w:name w:val="Emphasis"/>
    <w:next w:val="style88"/>
    <w:qFormat/>
    <w:uiPriority w:val="20"/>
    <w:rPr>
      <w:caps/>
      <w:color w:val="7f0000"/>
      <w:spacing w:val="5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French Script MT" w:hAnsi="French Script MT"/>
    </w:rPr>
  </w:style>
  <w:style w:type="paragraph" w:styleId="style180">
    <w:name w:val="Quote"/>
    <w:basedOn w:val="style0"/>
    <w:next w:val="style0"/>
    <w:link w:val="style4108"/>
    <w:qFormat/>
    <w:uiPriority w:val="29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spacing w:before="240" w:after="240" w:lineRule="auto" w:line="240"/>
      <w:ind w:left="1080" w:right="1080"/>
      <w:jc w:val="center"/>
    </w:pPr>
    <w:rPr>
      <w:color w:val="ff0000"/>
      <w:sz w:val="24"/>
      <w:szCs w:val="24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color w:val="ff0000"/>
      <w:sz w:val="24"/>
      <w:szCs w:val="24"/>
    </w:rPr>
  </w:style>
  <w:style w:type="character" w:styleId="style260">
    <w:name w:val="Subtle Emphasis"/>
    <w:next w:val="style260"/>
    <w:qFormat/>
    <w:uiPriority w:val="19"/>
    <w:rPr>
      <w:i/>
      <w:iCs/>
      <w:color w:val="7f0000"/>
    </w:rPr>
  </w:style>
  <w:style w:type="character" w:styleId="style261">
    <w:name w:val="Intense Emphasis"/>
    <w:next w:val="style261"/>
    <w:qFormat/>
    <w:uiPriority w:val="21"/>
    <w:rPr>
      <w:b/>
      <w:bCs/>
      <w:caps/>
      <w:color w:val="7f0000"/>
      <w:spacing w:val="10"/>
    </w:rPr>
  </w:style>
  <w:style w:type="character" w:styleId="style262">
    <w:name w:val="Subtle Reference"/>
    <w:next w:val="style262"/>
    <w:qFormat/>
    <w:uiPriority w:val="31"/>
    <w:rPr>
      <w:b/>
      <w:bCs/>
      <w:color w:val="ff0000"/>
    </w:rPr>
  </w:style>
  <w:style w:type="character" w:styleId="style263">
    <w:name w:val="Intense Reference"/>
    <w:next w:val="style263"/>
    <w:qFormat/>
    <w:uiPriority w:val="32"/>
    <w:rPr>
      <w:b/>
      <w:bCs/>
      <w:i/>
      <w:iCs/>
      <w:caps/>
      <w:color w:val="ff0000"/>
    </w:rPr>
  </w:style>
  <w:style w:type="character" w:styleId="style264">
    <w:name w:val="Book Title"/>
    <w:next w:val="style264"/>
    <w:qFormat/>
    <w:uiPriority w:val="33"/>
    <w:rPr>
      <w:b/>
      <w:bCs/>
      <w:i/>
      <w:iCs/>
      <w:spacing w:val="0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before="0" w:after="0" w:lineRule="auto" w:line="240"/>
    </w:pPr>
    <w:rPr/>
  </w:style>
  <w:style w:type="character" w:customStyle="1" w:styleId="style4110">
    <w:name w:val="En-tête Car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before="0" w:after="0" w:lineRule="auto" w:line="240"/>
    </w:pPr>
    <w:rPr/>
  </w:style>
  <w:style w:type="character" w:customStyle="1" w:styleId="style4111">
    <w:name w:val="Pied de page Car"/>
    <w:basedOn w:val="style65"/>
    <w:next w:val="style4111"/>
    <w:link w:val="style32"/>
    <w:uiPriority w:val="99"/>
  </w:style>
  <w:style w:type="character" w:styleId="style41">
    <w:name w:val="page number"/>
    <w:basedOn w:val="style65"/>
    <w:next w:val="style41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0</TotalTime>
  <Words>287</Words>
  <Pages>2</Pages>
  <Characters>1692</Characters>
  <Application>WPS Office</Application>
  <DocSecurity>0</DocSecurity>
  <Paragraphs>66</Paragraphs>
  <ScaleCrop>false</ScaleCrop>
  <LinksUpToDate>false</LinksUpToDate>
  <CharactersWithSpaces>1976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2025-01-30T18:02:00Z</dcterms:created>
  <dc:creator>261348333472</dc:creator>
  <lastModifiedBy>vivo V15</lastModifiedBy>
  <dcterms:modified xsi:type="dcterms:W3CDTF">2025-04-28T14:13:11Z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1fc44e50b1f2402f85d0157ecb696470</vt:lpwstr>
  </property>
</Properties>
</file>