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876EC" w:rsidRPr="00CF7C0E" w:rsidRDefault="001876EC" w:rsidP="00D1393D">
      <w:pPr>
        <w:pStyle w:val="Titre"/>
      </w:pPr>
      <w:r>
        <w:t xml:space="preserve">Anémies microcytaires hypochromes hyposidérémique : </w:t>
      </w:r>
    </w:p>
    <w:p w:rsidR="001876EC" w:rsidRDefault="001876EC" w:rsidP="00D1393D">
      <w:pPr>
        <w:pStyle w:val="Paragraphedeliste"/>
        <w:numPr>
          <w:ilvl w:val="0"/>
          <w:numId w:val="1"/>
        </w:numPr>
      </w:pPr>
      <w:r>
        <w:t xml:space="preserve">Bases physiopathologiques </w:t>
      </w:r>
    </w:p>
    <w:p w:rsidR="001876EC" w:rsidRDefault="001876EC" w:rsidP="00D1393D">
      <w:pPr>
        <w:pStyle w:val="Paragraphedeliste"/>
        <w:numPr>
          <w:ilvl w:val="1"/>
          <w:numId w:val="1"/>
        </w:numPr>
      </w:pPr>
      <w:r>
        <w:t xml:space="preserve">Anémie : baisse d’hémoglobine </w:t>
      </w:r>
    </w:p>
    <w:p w:rsidR="001876EC" w:rsidRDefault="001876EC" w:rsidP="00D1393D">
      <w:pPr>
        <w:pStyle w:val="Paragraphedeliste"/>
        <w:numPr>
          <w:ilvl w:val="1"/>
          <w:numId w:val="1"/>
        </w:numPr>
      </w:pPr>
      <w:proofErr w:type="spellStart"/>
      <w:r>
        <w:t>Microcytose</w:t>
      </w:r>
      <w:proofErr w:type="spellEnd"/>
      <w:r>
        <w:t xml:space="preserve"> et hypochromie : insuffisance en charge hémoglobine sans GR</w:t>
      </w:r>
    </w:p>
    <w:p w:rsidR="001876EC" w:rsidRDefault="001876EC" w:rsidP="00D1393D">
      <w:pPr>
        <w:pStyle w:val="Paragraphedeliste"/>
        <w:numPr>
          <w:ilvl w:val="1"/>
          <w:numId w:val="1"/>
        </w:numPr>
      </w:pPr>
      <w:proofErr w:type="spellStart"/>
      <w:r>
        <w:t>Hyposidérémie</w:t>
      </w:r>
      <w:proofErr w:type="spellEnd"/>
      <w:r>
        <w:t> : baisse du fer dans le plasma</w:t>
      </w:r>
    </w:p>
    <w:p w:rsidR="001876EC" w:rsidRDefault="001876EC" w:rsidP="00D1393D">
      <w:pPr>
        <w:pStyle w:val="Titre1"/>
      </w:pPr>
      <w:r>
        <w:t xml:space="preserve">Circonstances de découverte : </w:t>
      </w:r>
    </w:p>
    <w:p w:rsidR="001876EC" w:rsidRDefault="001876EC" w:rsidP="00D1393D">
      <w:pPr>
        <w:pStyle w:val="Paragraphedeliste"/>
        <w:numPr>
          <w:ilvl w:val="0"/>
          <w:numId w:val="1"/>
        </w:numPr>
      </w:pPr>
      <w:r>
        <w:t xml:space="preserve">Signes fonctionnels / bilan systématique </w:t>
      </w:r>
    </w:p>
    <w:p w:rsidR="001876EC" w:rsidRDefault="001876EC" w:rsidP="00D1393D">
      <w:pPr>
        <w:pStyle w:val="Titre1"/>
      </w:pPr>
      <w:r>
        <w:t xml:space="preserve">Clinique : </w:t>
      </w:r>
    </w:p>
    <w:p w:rsidR="001876EC" w:rsidRDefault="001876EC" w:rsidP="00D1393D">
      <w:pPr>
        <w:pStyle w:val="Paragraphedeliste"/>
        <w:numPr>
          <w:ilvl w:val="0"/>
          <w:numId w:val="1"/>
        </w:numPr>
      </w:pPr>
      <w:r>
        <w:t xml:space="preserve">Pâleur asthénie, signes cardio-respiratoires tachycardie, dyspnée), neuro-sensoriels (céphalées, vertiges, acouphènes, phosphènes) </w:t>
      </w:r>
    </w:p>
    <w:p w:rsidR="001876EC" w:rsidRDefault="001876EC" w:rsidP="00D1393D">
      <w:pPr>
        <w:pStyle w:val="Titre1"/>
      </w:pPr>
      <w:r>
        <w:t xml:space="preserve">Biologie : </w:t>
      </w:r>
    </w:p>
    <w:p w:rsidR="001876EC" w:rsidRPr="006066CF" w:rsidRDefault="001876EC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6066CF">
        <w:rPr>
          <w:b/>
          <w:bCs/>
        </w:rPr>
        <w:t>Hémogramme :</w:t>
      </w:r>
    </w:p>
    <w:p w:rsidR="001876EC" w:rsidRDefault="001876EC" w:rsidP="00D1393D">
      <w:pPr>
        <w:pStyle w:val="Paragraphedeliste"/>
        <w:numPr>
          <w:ilvl w:val="1"/>
          <w:numId w:val="1"/>
        </w:numPr>
      </w:pPr>
      <w:r>
        <w:t>Chute GR, hémoglobine, hématocrite</w:t>
      </w:r>
    </w:p>
    <w:p w:rsidR="001876EC" w:rsidRDefault="001876EC" w:rsidP="00D1393D">
      <w:pPr>
        <w:pStyle w:val="Paragraphedeliste"/>
        <w:numPr>
          <w:ilvl w:val="1"/>
          <w:numId w:val="1"/>
        </w:numPr>
      </w:pPr>
      <w:proofErr w:type="spellStart"/>
      <w:r>
        <w:t>Annulocytes</w:t>
      </w:r>
      <w:proofErr w:type="spellEnd"/>
      <w:r>
        <w:t xml:space="preserve">, </w:t>
      </w:r>
      <w:proofErr w:type="spellStart"/>
      <w:r>
        <w:t>poïkilocytose</w:t>
      </w:r>
      <w:proofErr w:type="spellEnd"/>
      <w:r w:rsidRPr="00736C2D">
        <w:rPr>
          <w:rFonts w:ascii="Fairwater Script" w:hAnsi="Fairwater Script"/>
        </w:rPr>
        <w:t xml:space="preserve"> (différentes formes) </w:t>
      </w:r>
      <w:r>
        <w:t xml:space="preserve">et </w:t>
      </w:r>
      <w:proofErr w:type="spellStart"/>
      <w:r>
        <w:t>polychromatophilie</w:t>
      </w:r>
      <w:proofErr w:type="spellEnd"/>
      <w:r w:rsidRPr="00387AAD">
        <w:rPr>
          <w:rFonts w:ascii="Fairwater Script" w:hAnsi="Fairwater Script"/>
        </w:rPr>
        <w:t xml:space="preserve"> (différentes couleurs) </w:t>
      </w:r>
    </w:p>
    <w:p w:rsidR="001876EC" w:rsidRDefault="001876EC" w:rsidP="00D1393D">
      <w:pPr>
        <w:pStyle w:val="Paragraphedeliste"/>
        <w:numPr>
          <w:ilvl w:val="1"/>
          <w:numId w:val="1"/>
        </w:numPr>
      </w:pPr>
      <w:r>
        <w:t>VGM diminuée (</w:t>
      </w:r>
      <w:proofErr w:type="spellStart"/>
      <w:r>
        <w:t>microcytose</w:t>
      </w:r>
      <w:proofErr w:type="spellEnd"/>
      <w:r>
        <w:t xml:space="preserve">) </w:t>
      </w:r>
    </w:p>
    <w:p w:rsidR="001876EC" w:rsidRDefault="001876EC" w:rsidP="00D1393D">
      <w:pPr>
        <w:pStyle w:val="Paragraphedeliste"/>
        <w:numPr>
          <w:ilvl w:val="1"/>
          <w:numId w:val="1"/>
        </w:numPr>
      </w:pPr>
      <w:r>
        <w:t xml:space="preserve">TCMH et CCMH diminuées (hypochromie) </w:t>
      </w:r>
    </w:p>
    <w:p w:rsidR="001876EC" w:rsidRPr="00EE2280" w:rsidRDefault="001876EC" w:rsidP="00D1393D">
      <w:pPr>
        <w:pStyle w:val="Paragraphedeliste"/>
        <w:numPr>
          <w:ilvl w:val="0"/>
          <w:numId w:val="1"/>
        </w:numPr>
        <w:rPr>
          <w:b/>
          <w:bCs/>
        </w:rPr>
      </w:pPr>
      <w:proofErr w:type="spellStart"/>
      <w:r w:rsidRPr="00EE2280">
        <w:rPr>
          <w:b/>
          <w:bCs/>
        </w:rPr>
        <w:t>Hyposidérémie</w:t>
      </w:r>
      <w:proofErr w:type="spellEnd"/>
      <w:r w:rsidRPr="00EE2280">
        <w:rPr>
          <w:b/>
          <w:bCs/>
        </w:rPr>
        <w:t xml:space="preserve"> ou </w:t>
      </w:r>
      <w:proofErr w:type="spellStart"/>
      <w:r w:rsidRPr="00EE2280">
        <w:rPr>
          <w:b/>
          <w:bCs/>
        </w:rPr>
        <w:t>sidéropénie</w:t>
      </w:r>
      <w:proofErr w:type="spellEnd"/>
      <w:r w:rsidRPr="00EE2280">
        <w:rPr>
          <w:b/>
          <w:bCs/>
        </w:rPr>
        <w:t xml:space="preserve"> : </w:t>
      </w:r>
    </w:p>
    <w:p w:rsidR="001876EC" w:rsidRDefault="001876EC" w:rsidP="00D1393D">
      <w:pPr>
        <w:pStyle w:val="Paragraphedeliste"/>
        <w:numPr>
          <w:ilvl w:val="1"/>
          <w:numId w:val="1"/>
        </w:numPr>
      </w:pPr>
      <w:r>
        <w:t>Fer plasmatique diminué</w:t>
      </w:r>
    </w:p>
    <w:p w:rsidR="001876EC" w:rsidRDefault="001876EC" w:rsidP="00D1393D">
      <w:pPr>
        <w:pStyle w:val="Paragraphedeliste"/>
        <w:numPr>
          <w:ilvl w:val="1"/>
          <w:numId w:val="1"/>
        </w:numPr>
      </w:pPr>
      <w:r>
        <w:t xml:space="preserve">Capacité de saturation de la transferrine augmentée </w:t>
      </w:r>
    </w:p>
    <w:p w:rsidR="001876EC" w:rsidRPr="00EE2280" w:rsidRDefault="001876EC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EE2280">
        <w:rPr>
          <w:b/>
          <w:bCs/>
        </w:rPr>
        <w:t xml:space="preserve">Ferritinémie : </w:t>
      </w:r>
    </w:p>
    <w:p w:rsidR="001876EC" w:rsidRDefault="001876EC" w:rsidP="00D1393D">
      <w:pPr>
        <w:pStyle w:val="Paragraphedeliste"/>
        <w:numPr>
          <w:ilvl w:val="1"/>
          <w:numId w:val="1"/>
        </w:numPr>
      </w:pPr>
      <w:r>
        <w:t xml:space="preserve">Abaissée en cas de carence en fer vraie </w:t>
      </w:r>
    </w:p>
    <w:p w:rsidR="001876EC" w:rsidRDefault="001876EC" w:rsidP="00D1393D">
      <w:pPr>
        <w:pStyle w:val="Paragraphedeliste"/>
        <w:numPr>
          <w:ilvl w:val="1"/>
          <w:numId w:val="1"/>
        </w:numPr>
      </w:pPr>
      <w:r>
        <w:t xml:space="preserve">Normale ou augmentée en cas d’inflammation (séquestration du fer dans les macrophages) </w:t>
      </w:r>
    </w:p>
    <w:p w:rsidR="001876EC" w:rsidRPr="00EE2280" w:rsidRDefault="001876EC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EE2280">
        <w:rPr>
          <w:b/>
          <w:bCs/>
        </w:rPr>
        <w:t xml:space="preserve">Régénération médullaire : </w:t>
      </w:r>
    </w:p>
    <w:p w:rsidR="001876EC" w:rsidRDefault="001876EC" w:rsidP="00D1393D">
      <w:pPr>
        <w:pStyle w:val="Paragraphedeliste"/>
        <w:numPr>
          <w:ilvl w:val="1"/>
          <w:numId w:val="1"/>
        </w:numPr>
      </w:pPr>
      <w:r w:rsidRPr="00EE2280">
        <w:rPr>
          <w:b/>
          <w:bCs/>
          <w:i/>
          <w:iCs/>
        </w:rPr>
        <w:t>Anémie régénérative</w:t>
      </w:r>
      <w:r>
        <w:t xml:space="preserve"> (hémorragies) : réticulocytes et érythroblastes médullaires augmentées </w:t>
      </w:r>
    </w:p>
    <w:p w:rsidR="001876EC" w:rsidRDefault="001876EC" w:rsidP="00D1393D">
      <w:pPr>
        <w:pStyle w:val="Paragraphedeliste"/>
        <w:numPr>
          <w:ilvl w:val="1"/>
          <w:numId w:val="1"/>
        </w:numPr>
      </w:pPr>
      <w:r w:rsidRPr="00EE2280">
        <w:rPr>
          <w:b/>
          <w:bCs/>
          <w:i/>
          <w:iCs/>
        </w:rPr>
        <w:t>Anémie non régénérative</w:t>
      </w:r>
      <w:r>
        <w:t xml:space="preserve"> (carence en fer) : réticulocytes et érythroblastes médullaires sont diminuées </w:t>
      </w:r>
    </w:p>
    <w:p w:rsidR="001876EC" w:rsidRPr="00EE2280" w:rsidRDefault="001876EC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EE2280">
        <w:rPr>
          <w:b/>
          <w:bCs/>
        </w:rPr>
        <w:t xml:space="preserve">Signes négatifs : </w:t>
      </w:r>
    </w:p>
    <w:p w:rsidR="001876EC" w:rsidRDefault="001876EC" w:rsidP="00D1393D">
      <w:pPr>
        <w:pStyle w:val="Paragraphedeliste"/>
        <w:numPr>
          <w:ilvl w:val="1"/>
          <w:numId w:val="1"/>
        </w:numPr>
      </w:pPr>
      <w:r>
        <w:t xml:space="preserve">Pas de signes d’hémolyse </w:t>
      </w:r>
    </w:p>
    <w:p w:rsidR="001876EC" w:rsidRDefault="001876EC" w:rsidP="00D1393D">
      <w:pPr>
        <w:pStyle w:val="Paragraphedeliste"/>
        <w:numPr>
          <w:ilvl w:val="1"/>
          <w:numId w:val="1"/>
        </w:numPr>
      </w:pPr>
      <w:r>
        <w:t xml:space="preserve">Autres lignées normales </w:t>
      </w:r>
    </w:p>
    <w:p w:rsidR="001876EC" w:rsidRPr="00EE2280" w:rsidRDefault="001876EC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EE2280">
        <w:rPr>
          <w:b/>
          <w:bCs/>
        </w:rPr>
        <w:t xml:space="preserve">Médullogramme ?????? </w:t>
      </w:r>
    </w:p>
    <w:p w:rsidR="001876EC" w:rsidRPr="00823B98" w:rsidRDefault="001876EC" w:rsidP="00D1393D">
      <w:pPr>
        <w:pStyle w:val="Paragraphedeliste"/>
        <w:numPr>
          <w:ilvl w:val="1"/>
          <w:numId w:val="1"/>
        </w:numPr>
        <w:rPr>
          <w:rFonts w:ascii="Fairwater Script" w:hAnsi="Fairwater Script"/>
          <w:color w:val="FF0000" w:themeColor="accent2"/>
        </w:rPr>
      </w:pPr>
      <w:r w:rsidRPr="00823B98">
        <w:rPr>
          <w:rFonts w:ascii="Fairwater Script" w:hAnsi="Fairwater Script"/>
          <w:color w:val="FF0000" w:themeColor="accent2"/>
        </w:rPr>
        <w:t xml:space="preserve">Lorsqu’il s’agit d’une anémie microcytaire hypochrome </w:t>
      </w:r>
      <w:proofErr w:type="spellStart"/>
      <w:r w:rsidRPr="00823B98">
        <w:rPr>
          <w:rFonts w:ascii="Fairwater Script" w:hAnsi="Fairwater Script"/>
          <w:color w:val="FF0000" w:themeColor="accent2"/>
        </w:rPr>
        <w:t>arégénérative</w:t>
      </w:r>
      <w:proofErr w:type="spellEnd"/>
      <w:r w:rsidRPr="00823B98">
        <w:rPr>
          <w:rFonts w:ascii="Fairwater Script" w:hAnsi="Fairwater Script"/>
          <w:color w:val="FF0000" w:themeColor="accent2"/>
        </w:rPr>
        <w:t xml:space="preserve">, le </w:t>
      </w:r>
      <w:proofErr w:type="spellStart"/>
      <w:r w:rsidRPr="00823B98">
        <w:rPr>
          <w:rFonts w:ascii="Fairwater Script" w:hAnsi="Fairwater Script"/>
          <w:color w:val="FF0000" w:themeColor="accent2"/>
        </w:rPr>
        <w:t>médullogramme</w:t>
      </w:r>
      <w:proofErr w:type="spellEnd"/>
      <w:r w:rsidRPr="00823B98">
        <w:rPr>
          <w:rFonts w:ascii="Fairwater Script" w:hAnsi="Fairwater Script"/>
          <w:color w:val="FF0000" w:themeColor="accent2"/>
        </w:rPr>
        <w:t xml:space="preserve"> n’est pas nécessaire </w:t>
      </w:r>
    </w:p>
    <w:p w:rsidR="001876EC" w:rsidRDefault="001876EC" w:rsidP="00D1393D">
      <w:pPr>
        <w:pStyle w:val="Titre1"/>
      </w:pPr>
      <w:r>
        <w:t xml:space="preserve">Étiologies : </w:t>
      </w:r>
    </w:p>
    <w:p w:rsidR="001876EC" w:rsidRPr="00EE2280" w:rsidRDefault="001876EC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EE2280">
        <w:rPr>
          <w:b/>
          <w:bCs/>
        </w:rPr>
        <w:t>Anémies régénérative :</w:t>
      </w:r>
    </w:p>
    <w:p w:rsidR="001876EC" w:rsidRDefault="001876EC" w:rsidP="00D1393D">
      <w:pPr>
        <w:pStyle w:val="Paragraphedeliste"/>
        <w:numPr>
          <w:ilvl w:val="1"/>
          <w:numId w:val="1"/>
        </w:numPr>
      </w:pPr>
      <w:r>
        <w:t>Hémorragies : appareil digestif, appareil génital, spoliation par les parasites, syndrome hémorragique</w:t>
      </w:r>
    </w:p>
    <w:p w:rsidR="001876EC" w:rsidRPr="00EE2280" w:rsidRDefault="001876EC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EE2280">
        <w:rPr>
          <w:b/>
          <w:bCs/>
        </w:rPr>
        <w:t>Anémie non régénérative :</w:t>
      </w:r>
    </w:p>
    <w:p w:rsidR="001876EC" w:rsidRPr="00EE2280" w:rsidRDefault="001876EC" w:rsidP="00D1393D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EE2280">
        <w:rPr>
          <w:b/>
          <w:bCs/>
          <w:i/>
          <w:iCs/>
        </w:rPr>
        <w:lastRenderedPageBreak/>
        <w:t xml:space="preserve">Carence en fer : </w:t>
      </w:r>
    </w:p>
    <w:p w:rsidR="001876EC" w:rsidRDefault="001876EC" w:rsidP="00D1393D">
      <w:pPr>
        <w:pStyle w:val="Paragraphedeliste"/>
        <w:numPr>
          <w:ilvl w:val="2"/>
          <w:numId w:val="1"/>
        </w:numPr>
      </w:pPr>
      <w:r>
        <w:t xml:space="preserve">Malnutrition </w:t>
      </w:r>
    </w:p>
    <w:p w:rsidR="001876EC" w:rsidRDefault="001876EC" w:rsidP="00D1393D">
      <w:pPr>
        <w:pStyle w:val="Paragraphedeliste"/>
        <w:numPr>
          <w:ilvl w:val="2"/>
          <w:numId w:val="1"/>
        </w:numPr>
      </w:pPr>
      <w:r>
        <w:t>Excès en besoin</w:t>
      </w:r>
    </w:p>
    <w:p w:rsidR="001876EC" w:rsidRPr="00823B98" w:rsidRDefault="001876EC" w:rsidP="00D1393D">
      <w:pPr>
        <w:pStyle w:val="Paragraphedeliste"/>
        <w:numPr>
          <w:ilvl w:val="2"/>
          <w:numId w:val="1"/>
        </w:numPr>
      </w:pPr>
      <w:r w:rsidRPr="00823B98">
        <w:t xml:space="preserve">Malabsorption </w:t>
      </w:r>
      <w:r w:rsidRPr="004E5B80">
        <w:rPr>
          <w:rFonts w:ascii="Fairwater Script" w:hAnsi="Fairwater Script"/>
        </w:rPr>
        <w:t>(généralement dans les maladies inflammatoires chroniques de l’intestin)</w:t>
      </w:r>
      <w:r w:rsidRPr="00823B98">
        <w:t xml:space="preserve"> </w:t>
      </w:r>
    </w:p>
    <w:p w:rsidR="001876EC" w:rsidRPr="00EC6598" w:rsidRDefault="001876EC" w:rsidP="00D1393D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EC6598">
        <w:rPr>
          <w:b/>
          <w:bCs/>
          <w:i/>
          <w:iCs/>
        </w:rPr>
        <w:t xml:space="preserve">Infections chroniques, syndrome inflammatoire, cancer </w:t>
      </w:r>
    </w:p>
    <w:p w:rsidR="001876EC" w:rsidRDefault="001876EC" w:rsidP="00D1393D">
      <w:pPr>
        <w:pStyle w:val="Titre1"/>
      </w:pPr>
      <w:r>
        <w:t xml:space="preserve">Complications : </w:t>
      </w:r>
    </w:p>
    <w:p w:rsidR="001876EC" w:rsidRPr="00EC6598" w:rsidRDefault="001876EC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EC6598">
        <w:rPr>
          <w:b/>
          <w:bCs/>
        </w:rPr>
        <w:t xml:space="preserve">Trophiques à type d’atrophie : </w:t>
      </w:r>
    </w:p>
    <w:p w:rsidR="001876EC" w:rsidRDefault="001876EC" w:rsidP="00D1393D">
      <w:pPr>
        <w:pStyle w:val="Paragraphedeliste"/>
        <w:numPr>
          <w:ilvl w:val="1"/>
          <w:numId w:val="1"/>
        </w:numPr>
      </w:pPr>
      <w:r>
        <w:t>Muqueuses, phanères, peau</w:t>
      </w:r>
    </w:p>
    <w:p w:rsidR="001876EC" w:rsidRPr="00EC6598" w:rsidRDefault="001876EC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EC6598">
        <w:rPr>
          <w:b/>
          <w:bCs/>
        </w:rPr>
        <w:t>Neurologique</w:t>
      </w:r>
      <w:r>
        <w:rPr>
          <w:b/>
          <w:bCs/>
        </w:rPr>
        <w:t> :</w:t>
      </w:r>
    </w:p>
    <w:p w:rsidR="001876EC" w:rsidRDefault="001876EC" w:rsidP="00D1393D">
      <w:pPr>
        <w:pStyle w:val="Paragraphedeliste"/>
        <w:numPr>
          <w:ilvl w:val="1"/>
          <w:numId w:val="1"/>
        </w:numPr>
      </w:pPr>
      <w:r>
        <w:t xml:space="preserve">Névralgies </w:t>
      </w:r>
    </w:p>
    <w:p w:rsidR="001876EC" w:rsidRDefault="001876EC" w:rsidP="00D1393D">
      <w:pPr>
        <w:pStyle w:val="Paragraphedeliste"/>
        <w:numPr>
          <w:ilvl w:val="1"/>
          <w:numId w:val="1"/>
        </w:numPr>
      </w:pPr>
      <w:r>
        <w:t xml:space="preserve">Paresthésies </w:t>
      </w:r>
    </w:p>
    <w:p w:rsidR="001876EC" w:rsidRPr="00EC6598" w:rsidRDefault="001876EC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EC6598">
        <w:rPr>
          <w:b/>
          <w:bCs/>
        </w:rPr>
        <w:t>Hémodynamiques</w:t>
      </w:r>
      <w:r>
        <w:rPr>
          <w:b/>
          <w:bCs/>
        </w:rPr>
        <w:t> :</w:t>
      </w:r>
    </w:p>
    <w:p w:rsidR="001876EC" w:rsidRDefault="001876EC" w:rsidP="00D1393D">
      <w:pPr>
        <w:pStyle w:val="Paragraphedeliste"/>
        <w:numPr>
          <w:ilvl w:val="1"/>
          <w:numId w:val="1"/>
        </w:numPr>
      </w:pPr>
      <w:r>
        <w:t>Collapsus</w:t>
      </w:r>
    </w:p>
    <w:p w:rsidR="001876EC" w:rsidRDefault="001876EC" w:rsidP="00D1393D">
      <w:pPr>
        <w:pStyle w:val="Paragraphedeliste"/>
        <w:numPr>
          <w:ilvl w:val="1"/>
          <w:numId w:val="1"/>
        </w:numPr>
      </w:pPr>
      <w:r>
        <w:t>Anoxie viscérales, myocardiques, cérébrale</w:t>
      </w:r>
    </w:p>
    <w:p w:rsidR="001876EC" w:rsidRDefault="001876EC" w:rsidP="00D1393D">
      <w:pPr>
        <w:pStyle w:val="Titre1"/>
      </w:pPr>
      <w:r>
        <w:t xml:space="preserve">Traitement : </w:t>
      </w:r>
    </w:p>
    <w:p w:rsidR="001876EC" w:rsidRPr="00EC6598" w:rsidRDefault="001876EC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EC6598">
        <w:rPr>
          <w:b/>
          <w:bCs/>
        </w:rPr>
        <w:t xml:space="preserve">Objectifs : </w:t>
      </w:r>
    </w:p>
    <w:p w:rsidR="001876EC" w:rsidRDefault="001876EC" w:rsidP="00D1393D">
      <w:pPr>
        <w:pStyle w:val="Paragraphedeliste"/>
        <w:numPr>
          <w:ilvl w:val="1"/>
          <w:numId w:val="1"/>
        </w:numPr>
      </w:pPr>
      <w:r>
        <w:t>Rétablir la volémie</w:t>
      </w:r>
    </w:p>
    <w:p w:rsidR="001876EC" w:rsidRDefault="001876EC" w:rsidP="00D1393D">
      <w:pPr>
        <w:pStyle w:val="Paragraphedeliste"/>
        <w:numPr>
          <w:ilvl w:val="1"/>
          <w:numId w:val="1"/>
        </w:numPr>
      </w:pPr>
      <w:r>
        <w:t>Rétablir le taux d’hémoglobine</w:t>
      </w:r>
    </w:p>
    <w:p w:rsidR="001876EC" w:rsidRDefault="001876EC" w:rsidP="00D1393D">
      <w:pPr>
        <w:pStyle w:val="Paragraphedeliste"/>
        <w:numPr>
          <w:ilvl w:val="1"/>
          <w:numId w:val="1"/>
        </w:numPr>
      </w:pPr>
      <w:r>
        <w:t>Assurer la régénération normale GR</w:t>
      </w:r>
    </w:p>
    <w:p w:rsidR="001876EC" w:rsidRDefault="001876EC" w:rsidP="00D1393D">
      <w:pPr>
        <w:pStyle w:val="Paragraphedeliste"/>
        <w:numPr>
          <w:ilvl w:val="1"/>
          <w:numId w:val="1"/>
        </w:numPr>
      </w:pPr>
      <w:r>
        <w:t>Guérir la cause</w:t>
      </w:r>
    </w:p>
    <w:p w:rsidR="001876EC" w:rsidRPr="00EC6598" w:rsidRDefault="001876EC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EC6598">
        <w:rPr>
          <w:b/>
          <w:bCs/>
        </w:rPr>
        <w:t xml:space="preserve">Principes : </w:t>
      </w:r>
    </w:p>
    <w:p w:rsidR="001876EC" w:rsidRDefault="001876EC" w:rsidP="00D1393D">
      <w:pPr>
        <w:pStyle w:val="Paragraphedeliste"/>
        <w:numPr>
          <w:ilvl w:val="1"/>
          <w:numId w:val="1"/>
        </w:numPr>
      </w:pPr>
      <w:r w:rsidRPr="00EC6598">
        <w:rPr>
          <w:b/>
          <w:bCs/>
          <w:i/>
          <w:iCs/>
        </w:rPr>
        <w:t xml:space="preserve">Traitement martial : </w:t>
      </w:r>
      <w:r>
        <w:t xml:space="preserve">Fer (per os) </w:t>
      </w:r>
    </w:p>
    <w:p w:rsidR="001876EC" w:rsidRDefault="001876EC" w:rsidP="00D1393D">
      <w:pPr>
        <w:pStyle w:val="Paragraphedeliste"/>
        <w:numPr>
          <w:ilvl w:val="2"/>
          <w:numId w:val="1"/>
        </w:numPr>
      </w:pPr>
      <w:r>
        <w:t xml:space="preserve">Fer (+ Vitamine C + acide folique et/ou VitB12) </w:t>
      </w:r>
    </w:p>
    <w:p w:rsidR="001876EC" w:rsidRDefault="001876EC" w:rsidP="00D1393D">
      <w:pPr>
        <w:pStyle w:val="Paragraphedeliste"/>
        <w:numPr>
          <w:ilvl w:val="2"/>
          <w:numId w:val="1"/>
        </w:numPr>
      </w:pPr>
      <w:r>
        <w:t xml:space="preserve">Conduite : </w:t>
      </w:r>
    </w:p>
    <w:p w:rsidR="001876EC" w:rsidRDefault="001876EC" w:rsidP="00D1393D">
      <w:pPr>
        <w:pStyle w:val="Paragraphedeliste"/>
        <w:numPr>
          <w:ilvl w:val="3"/>
          <w:numId w:val="1"/>
        </w:numPr>
      </w:pPr>
      <w:r>
        <w:t>Posologie : dose optimale tolérée (5 mg/kg/j en 3 prises’</w:t>
      </w:r>
    </w:p>
    <w:p w:rsidR="001876EC" w:rsidRDefault="001876EC" w:rsidP="00D1393D">
      <w:pPr>
        <w:pStyle w:val="Paragraphedeliste"/>
        <w:numPr>
          <w:ilvl w:val="3"/>
          <w:numId w:val="1"/>
        </w:numPr>
      </w:pPr>
      <w:r>
        <w:t>Réparation en 3-4 semaines</w:t>
      </w:r>
    </w:p>
    <w:p w:rsidR="001876EC" w:rsidRDefault="001876EC" w:rsidP="00D1393D">
      <w:pPr>
        <w:pStyle w:val="Paragraphedeliste"/>
        <w:numPr>
          <w:ilvl w:val="3"/>
          <w:numId w:val="1"/>
        </w:numPr>
      </w:pPr>
      <w:r>
        <w:t>Réserve suffisante en fer en 3-4 semaines</w:t>
      </w:r>
    </w:p>
    <w:p w:rsidR="001876EC" w:rsidRDefault="001876EC" w:rsidP="00D1393D">
      <w:pPr>
        <w:pStyle w:val="Paragraphedeliste"/>
        <w:numPr>
          <w:ilvl w:val="3"/>
          <w:numId w:val="1"/>
        </w:numPr>
      </w:pPr>
      <w:r>
        <w:t xml:space="preserve">Petites doses prolongée </w:t>
      </w:r>
    </w:p>
    <w:p w:rsidR="001876EC" w:rsidRDefault="001876EC" w:rsidP="00D1393D">
      <w:pPr>
        <w:pStyle w:val="Paragraphedeliste"/>
        <w:numPr>
          <w:ilvl w:val="2"/>
          <w:numId w:val="1"/>
        </w:numPr>
      </w:pPr>
      <w:r>
        <w:t xml:space="preserve">Poursuite jusqu’à guérison de la cause </w:t>
      </w:r>
    </w:p>
    <w:p w:rsidR="001876EC" w:rsidRDefault="001876EC" w:rsidP="00D1393D">
      <w:pPr>
        <w:pStyle w:val="Paragraphedeliste"/>
        <w:numPr>
          <w:ilvl w:val="2"/>
          <w:numId w:val="1"/>
        </w:numPr>
      </w:pPr>
      <w:r>
        <w:t xml:space="preserve">Effet secondaire : </w:t>
      </w:r>
    </w:p>
    <w:p w:rsidR="001876EC" w:rsidRDefault="001876EC" w:rsidP="00D1393D">
      <w:pPr>
        <w:pStyle w:val="Paragraphedeliste"/>
        <w:numPr>
          <w:ilvl w:val="3"/>
          <w:numId w:val="1"/>
        </w:numPr>
      </w:pPr>
      <w:r>
        <w:t xml:space="preserve">Troubles digestives : diarrhées, nausées, vomissements (50% des patients) </w:t>
      </w:r>
    </w:p>
    <w:p w:rsidR="001876EC" w:rsidRDefault="001876EC" w:rsidP="00D1393D">
      <w:pPr>
        <w:pStyle w:val="Paragraphedeliste"/>
        <w:numPr>
          <w:ilvl w:val="3"/>
          <w:numId w:val="1"/>
        </w:numPr>
      </w:pPr>
      <w:r>
        <w:t xml:space="preserve">Coloration noire (selles, gencives) </w:t>
      </w:r>
    </w:p>
    <w:p w:rsidR="001876EC" w:rsidRPr="009C7D76" w:rsidRDefault="001876EC" w:rsidP="00D1393D">
      <w:pPr>
        <w:pStyle w:val="Paragraphedeliste"/>
        <w:numPr>
          <w:ilvl w:val="2"/>
          <w:numId w:val="1"/>
        </w:numPr>
        <w:rPr>
          <w:rFonts w:ascii="Fairwater Script" w:hAnsi="Fairwater Script"/>
        </w:rPr>
      </w:pPr>
      <w:r w:rsidRPr="009C7D76">
        <w:rPr>
          <w:rFonts w:ascii="Fairwater Script" w:hAnsi="Fairwater Script"/>
        </w:rPr>
        <w:t xml:space="preserve">Si fer injectable =&gt; hospitalisation </w:t>
      </w:r>
    </w:p>
    <w:p w:rsidR="001876EC" w:rsidRPr="00EC6598" w:rsidRDefault="001876EC" w:rsidP="00D1393D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EC6598">
        <w:rPr>
          <w:b/>
          <w:bCs/>
          <w:i/>
          <w:iCs/>
        </w:rPr>
        <w:t>Traitement adjuvants</w:t>
      </w:r>
      <w:r>
        <w:rPr>
          <w:b/>
          <w:bCs/>
          <w:i/>
          <w:iCs/>
        </w:rPr>
        <w:t xml:space="preserve"> : </w:t>
      </w:r>
    </w:p>
    <w:p w:rsidR="001876EC" w:rsidRDefault="001876EC" w:rsidP="00D1393D">
      <w:pPr>
        <w:pStyle w:val="Paragraphedeliste"/>
        <w:numPr>
          <w:ilvl w:val="2"/>
          <w:numId w:val="1"/>
        </w:numPr>
      </w:pPr>
      <w:r>
        <w:t xml:space="preserve">Transfusion sanguine : </w:t>
      </w:r>
    </w:p>
    <w:p w:rsidR="001876EC" w:rsidRDefault="001876EC" w:rsidP="00D1393D">
      <w:pPr>
        <w:pStyle w:val="Paragraphedeliste"/>
        <w:numPr>
          <w:ilvl w:val="3"/>
          <w:numId w:val="1"/>
        </w:numPr>
      </w:pPr>
      <w:r>
        <w:t xml:space="preserve">Anémie aigue ou profonde </w:t>
      </w:r>
    </w:p>
    <w:p w:rsidR="001876EC" w:rsidRDefault="001876EC" w:rsidP="00D1393D">
      <w:pPr>
        <w:pStyle w:val="Paragraphedeliste"/>
        <w:numPr>
          <w:ilvl w:val="3"/>
          <w:numId w:val="1"/>
        </w:numPr>
      </w:pPr>
      <w:r>
        <w:t xml:space="preserve">Culot globulaire </w:t>
      </w:r>
    </w:p>
    <w:p w:rsidR="001876EC" w:rsidRDefault="001876EC" w:rsidP="00D1393D">
      <w:pPr>
        <w:pStyle w:val="Paragraphedeliste"/>
        <w:numPr>
          <w:ilvl w:val="2"/>
          <w:numId w:val="1"/>
        </w:numPr>
      </w:pPr>
      <w:r>
        <w:t xml:space="preserve">Facteurs d’absorption ou d’assimilation : </w:t>
      </w:r>
    </w:p>
    <w:p w:rsidR="001876EC" w:rsidRDefault="001876EC" w:rsidP="00D1393D">
      <w:pPr>
        <w:pStyle w:val="Paragraphedeliste"/>
        <w:numPr>
          <w:ilvl w:val="3"/>
          <w:numId w:val="1"/>
        </w:numPr>
      </w:pPr>
      <w:r>
        <w:t>Vit C, folates, VitB12, oligo-éléments (Cobalt), anabolisants</w:t>
      </w:r>
    </w:p>
    <w:p w:rsidR="001876EC" w:rsidRPr="00EC6598" w:rsidRDefault="001876EC" w:rsidP="00D1393D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EC6598">
        <w:rPr>
          <w:b/>
          <w:bCs/>
          <w:i/>
          <w:iCs/>
        </w:rPr>
        <w:t xml:space="preserve">Traitement étiologique : </w:t>
      </w:r>
    </w:p>
    <w:p w:rsidR="001876EC" w:rsidRDefault="001876EC" w:rsidP="00D1393D">
      <w:pPr>
        <w:pStyle w:val="Paragraphedeliste"/>
        <w:numPr>
          <w:ilvl w:val="2"/>
          <w:numId w:val="1"/>
        </w:numPr>
      </w:pPr>
      <w:r>
        <w:t>Source hémorragique</w:t>
      </w:r>
    </w:p>
    <w:p w:rsidR="001876EC" w:rsidRDefault="001876EC" w:rsidP="00D1393D">
      <w:pPr>
        <w:pStyle w:val="Paragraphedeliste"/>
        <w:numPr>
          <w:ilvl w:val="2"/>
          <w:numId w:val="1"/>
        </w:numPr>
      </w:pPr>
      <w:r>
        <w:t xml:space="preserve">Parasitose </w:t>
      </w:r>
    </w:p>
    <w:p w:rsidR="00985D32" w:rsidRDefault="001876EC" w:rsidP="001876EC">
      <w:pPr>
        <w:pStyle w:val="Paragraphedeliste"/>
        <w:numPr>
          <w:ilvl w:val="2"/>
          <w:numId w:val="1"/>
        </w:numPr>
      </w:pPr>
      <w:r>
        <w:t>Apport</w:t>
      </w:r>
    </w:p>
    <w:sectPr w:rsidR="00985D32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876EC" w:rsidRDefault="001876EC" w:rsidP="001876EC">
      <w:pPr>
        <w:spacing w:before="0" w:after="0" w:line="240" w:lineRule="auto"/>
      </w:pPr>
      <w:r>
        <w:separator/>
      </w:r>
    </w:p>
  </w:endnote>
  <w:endnote w:type="continuationSeparator" w:id="0">
    <w:p w:rsidR="001876EC" w:rsidRDefault="001876EC" w:rsidP="001876E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2124221041"/>
      <w:docPartObj>
        <w:docPartGallery w:val="Page Numbers (Bottom of Page)"/>
        <w:docPartUnique/>
      </w:docPartObj>
    </w:sdtPr>
    <w:sdtContent>
      <w:p w:rsidR="001876EC" w:rsidRDefault="001876EC" w:rsidP="00742202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1876EC" w:rsidRDefault="001876E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750977540"/>
      <w:docPartObj>
        <w:docPartGallery w:val="Page Numbers (Bottom of Page)"/>
        <w:docPartUnique/>
      </w:docPartObj>
    </w:sdtPr>
    <w:sdtContent>
      <w:p w:rsidR="001876EC" w:rsidRDefault="001876EC" w:rsidP="00742202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2</w:t>
        </w:r>
        <w:r>
          <w:rPr>
            <w:rStyle w:val="Numrodepage"/>
          </w:rPr>
          <w:fldChar w:fldCharType="end"/>
        </w:r>
      </w:p>
    </w:sdtContent>
  </w:sdt>
  <w:p w:rsidR="001876EC" w:rsidRDefault="001876E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876EC" w:rsidRDefault="001876EC" w:rsidP="001876EC">
      <w:pPr>
        <w:spacing w:before="0" w:after="0" w:line="240" w:lineRule="auto"/>
      </w:pPr>
      <w:r>
        <w:separator/>
      </w:r>
    </w:p>
  </w:footnote>
  <w:footnote w:type="continuationSeparator" w:id="0">
    <w:p w:rsidR="001876EC" w:rsidRDefault="001876EC" w:rsidP="001876E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876EC" w:rsidRDefault="001876EC">
    <w:pPr>
      <w:pStyle w:val="En-tte"/>
    </w:pP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A12067"/>
    <w:multiLevelType w:val="hybridMultilevel"/>
    <w:tmpl w:val="82160C3E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706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6EC"/>
    <w:rsid w:val="001876EC"/>
    <w:rsid w:val="002227D3"/>
    <w:rsid w:val="005F5B1B"/>
    <w:rsid w:val="00620B83"/>
    <w:rsid w:val="00911179"/>
    <w:rsid w:val="0098050A"/>
    <w:rsid w:val="00985D32"/>
    <w:rsid w:val="009E48A4"/>
    <w:rsid w:val="009F0590"/>
    <w:rsid w:val="00A15F22"/>
    <w:rsid w:val="00B7070B"/>
    <w:rsid w:val="00CC6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A18A4"/>
  <w15:chartTrackingRefBased/>
  <w15:docId w15:val="{A290A98B-19EE-B344-B5E1-E6EC54C75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AF8"/>
  </w:style>
  <w:style w:type="paragraph" w:styleId="Titre1">
    <w:name w:val="heading 1"/>
    <w:basedOn w:val="Normal"/>
    <w:next w:val="Normal"/>
    <w:link w:val="Titre1Car"/>
    <w:uiPriority w:val="9"/>
    <w:qFormat/>
    <w:rsid w:val="00CC6AF8"/>
    <w:pPr>
      <w:pBdr>
        <w:top w:val="single" w:sz="24" w:space="0" w:color="FF0000" w:themeColor="accent1"/>
        <w:left w:val="single" w:sz="24" w:space="0" w:color="FF0000" w:themeColor="accent1"/>
        <w:bottom w:val="single" w:sz="24" w:space="0" w:color="FF0000" w:themeColor="accent1"/>
        <w:right w:val="single" w:sz="24" w:space="0" w:color="FF0000" w:themeColor="accent1"/>
      </w:pBdr>
      <w:shd w:val="clear" w:color="auto" w:fill="FF000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C6AF8"/>
    <w:pPr>
      <w:pBdr>
        <w:top w:val="single" w:sz="24" w:space="0" w:color="FFCCCC" w:themeColor="accent1" w:themeTint="33"/>
        <w:left w:val="single" w:sz="24" w:space="0" w:color="FFCCCC" w:themeColor="accent1" w:themeTint="33"/>
        <w:bottom w:val="single" w:sz="24" w:space="0" w:color="FFCCCC" w:themeColor="accent1" w:themeTint="33"/>
        <w:right w:val="single" w:sz="24" w:space="0" w:color="FFCCCC" w:themeColor="accent1" w:themeTint="33"/>
      </w:pBdr>
      <w:shd w:val="clear" w:color="auto" w:fill="FFCCCC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C6AF8"/>
    <w:pPr>
      <w:pBdr>
        <w:top w:val="single" w:sz="6" w:space="2" w:color="FF0000" w:themeColor="accent1"/>
        <w:left w:val="single" w:sz="6" w:space="4" w:color="FF0000" w:themeColor="accent1"/>
        <w:right w:val="single" w:sz="6" w:space="4" w:color="FF0000" w:themeColor="accent1"/>
      </w:pBdr>
      <w:spacing w:before="300" w:after="0"/>
      <w:outlineLvl w:val="2"/>
    </w:pPr>
    <w:rPr>
      <w:b/>
      <w:color w:val="FF000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C6AF8"/>
    <w:pPr>
      <w:pBdr>
        <w:top w:val="dotted" w:sz="6" w:space="2" w:color="FF0000" w:themeColor="accent1"/>
        <w:left w:val="dotted" w:sz="6" w:space="4" w:color="FF0000" w:themeColor="accent1"/>
        <w:right w:val="dotted" w:sz="6" w:space="4" w:color="FF0000" w:themeColor="accent1"/>
      </w:pBdr>
      <w:spacing w:before="200" w:after="0"/>
      <w:outlineLvl w:val="3"/>
    </w:pPr>
    <w:rPr>
      <w:b/>
      <w:color w:val="BF0000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C6AF8"/>
    <w:pPr>
      <w:pBdr>
        <w:left w:val="single" w:sz="4" w:space="4" w:color="FF0000" w:themeColor="accent1"/>
        <w:bottom w:val="single" w:sz="4" w:space="1" w:color="FF0000" w:themeColor="accent1"/>
        <w:right w:val="single" w:sz="4" w:space="4" w:color="FF0000" w:themeColor="accent1"/>
      </w:pBdr>
      <w:spacing w:before="200" w:after="0"/>
      <w:outlineLvl w:val="4"/>
    </w:pPr>
    <w:rPr>
      <w:b/>
      <w:smallCaps/>
      <w:color w:val="FF0000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C6AF8"/>
    <w:pPr>
      <w:pBdr>
        <w:bottom w:val="dotted" w:sz="6" w:space="1" w:color="FF0000" w:themeColor="accent1"/>
      </w:pBdr>
      <w:spacing w:before="200" w:after="0"/>
      <w:outlineLvl w:val="5"/>
    </w:pPr>
    <w:rPr>
      <w:rFonts w:ascii="French Script MT" w:hAnsi="French Script MT"/>
      <w:color w:val="BF0000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C6AF8"/>
    <w:pPr>
      <w:spacing w:before="200" w:after="0"/>
      <w:outlineLvl w:val="6"/>
    </w:pPr>
    <w:rPr>
      <w:caps/>
      <w:color w:val="BF0000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C6AF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C6AF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6AF8"/>
    <w:rPr>
      <w:b/>
      <w:caps/>
      <w:color w:val="FFFFFF" w:themeColor="background1"/>
      <w:spacing w:val="15"/>
      <w:sz w:val="22"/>
      <w:szCs w:val="22"/>
      <w:shd w:val="clear" w:color="auto" w:fill="FF0000" w:themeFill="accent1"/>
    </w:rPr>
  </w:style>
  <w:style w:type="character" w:customStyle="1" w:styleId="Titre2Car">
    <w:name w:val="Titre 2 Car"/>
    <w:basedOn w:val="Policepardfaut"/>
    <w:link w:val="Titre2"/>
    <w:uiPriority w:val="9"/>
    <w:rsid w:val="00CC6AF8"/>
    <w:rPr>
      <w:rFonts w:ascii="Cambria" w:hAnsi="Cambria"/>
      <w:b/>
      <w:color w:val="000000" w:themeColor="text1"/>
      <w:spacing w:val="15"/>
      <w:sz w:val="22"/>
      <w:shd w:val="clear" w:color="auto" w:fill="FFCCCC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C6AF8"/>
    <w:rPr>
      <w:b/>
      <w:color w:val="FF000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C6AF8"/>
    <w:rPr>
      <w:b/>
      <w:color w:val="BF0000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C6AF8"/>
    <w:rPr>
      <w:b/>
      <w:smallCaps/>
      <w:color w:val="FF0000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C6AF8"/>
    <w:rPr>
      <w:rFonts w:ascii="French Script MT" w:hAnsi="French Script MT"/>
      <w:color w:val="BF0000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C6AF8"/>
    <w:rPr>
      <w:caps/>
      <w:color w:val="BF0000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C6AF8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C6AF8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C6AF8"/>
    <w:rPr>
      <w:b/>
      <w:bCs/>
      <w:color w:val="BF0000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C6AF8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C6AF8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C6AF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C6AF8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C6AF8"/>
    <w:rPr>
      <w:b/>
      <w:bCs/>
    </w:rPr>
  </w:style>
  <w:style w:type="character" w:styleId="Accentuation">
    <w:name w:val="Emphasis"/>
    <w:uiPriority w:val="20"/>
    <w:qFormat/>
    <w:rsid w:val="00CC6AF8"/>
    <w:rPr>
      <w:caps/>
      <w:color w:val="7F0000" w:themeColor="accent1" w:themeShade="7F"/>
      <w:spacing w:val="5"/>
    </w:rPr>
  </w:style>
  <w:style w:type="paragraph" w:styleId="Sansinterligne">
    <w:name w:val="No Spacing"/>
    <w:uiPriority w:val="1"/>
    <w:qFormat/>
    <w:rsid w:val="00CC6AF8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C6AF8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C6AF8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C6AF8"/>
    <w:pPr>
      <w:spacing w:before="240" w:after="240" w:line="240" w:lineRule="auto"/>
      <w:ind w:left="1080" w:right="1080"/>
      <w:jc w:val="center"/>
    </w:pPr>
    <w:rPr>
      <w:color w:val="FF000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C6AF8"/>
    <w:rPr>
      <w:color w:val="FF0000" w:themeColor="accent1"/>
      <w:sz w:val="24"/>
      <w:szCs w:val="24"/>
    </w:rPr>
  </w:style>
  <w:style w:type="character" w:styleId="Accentuationlgre">
    <w:name w:val="Subtle Emphasis"/>
    <w:uiPriority w:val="19"/>
    <w:qFormat/>
    <w:rsid w:val="00CC6AF8"/>
    <w:rPr>
      <w:i/>
      <w:iCs/>
      <w:color w:val="7F0000" w:themeColor="accent1" w:themeShade="7F"/>
    </w:rPr>
  </w:style>
  <w:style w:type="character" w:styleId="Accentuationintense">
    <w:name w:val="Intense Emphasis"/>
    <w:uiPriority w:val="21"/>
    <w:qFormat/>
    <w:rsid w:val="00CC6AF8"/>
    <w:rPr>
      <w:b/>
      <w:bCs/>
      <w:caps/>
      <w:color w:val="7F0000" w:themeColor="accent1" w:themeShade="7F"/>
      <w:spacing w:val="10"/>
    </w:rPr>
  </w:style>
  <w:style w:type="character" w:styleId="Rfrencelgre">
    <w:name w:val="Subtle Reference"/>
    <w:uiPriority w:val="31"/>
    <w:qFormat/>
    <w:rsid w:val="00CC6AF8"/>
    <w:rPr>
      <w:b/>
      <w:bCs/>
      <w:color w:val="FF0000" w:themeColor="accent1"/>
    </w:rPr>
  </w:style>
  <w:style w:type="character" w:styleId="Rfrenceintense">
    <w:name w:val="Intense Reference"/>
    <w:uiPriority w:val="32"/>
    <w:qFormat/>
    <w:rsid w:val="00CC6AF8"/>
    <w:rPr>
      <w:b/>
      <w:bCs/>
      <w:i/>
      <w:iCs/>
      <w:caps/>
      <w:color w:val="FF0000" w:themeColor="accent1"/>
    </w:rPr>
  </w:style>
  <w:style w:type="character" w:styleId="Titredulivre">
    <w:name w:val="Book Title"/>
    <w:uiPriority w:val="33"/>
    <w:qFormat/>
    <w:rsid w:val="00CC6AF8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C6AF8"/>
    <w:pPr>
      <w:outlineLvl w:val="9"/>
    </w:pPr>
  </w:style>
  <w:style w:type="paragraph" w:styleId="Paragraphedeliste">
    <w:name w:val="List Paragraph"/>
    <w:basedOn w:val="Normal"/>
    <w:uiPriority w:val="34"/>
    <w:qFormat/>
    <w:rsid w:val="001876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1876EC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876EC"/>
  </w:style>
  <w:style w:type="paragraph" w:styleId="Pieddepage">
    <w:name w:val="footer"/>
    <w:basedOn w:val="Normal"/>
    <w:link w:val="PieddepageCar"/>
    <w:uiPriority w:val="99"/>
    <w:unhideWhenUsed/>
    <w:rsid w:val="001876EC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876EC"/>
  </w:style>
  <w:style w:type="character" w:styleId="Numrodepage">
    <w:name w:val="page number"/>
    <w:basedOn w:val="Policepardfaut"/>
    <w:uiPriority w:val="99"/>
    <w:semiHidden/>
    <w:unhideWhenUsed/>
    <w:rsid w:val="001876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h&#233;matologi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1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FF0000"/>
      </a:accent1>
      <a:accent2>
        <a:srgbClr val="FF0000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hématologie.dotx</Template>
  <TotalTime>0</TotalTime>
  <Pages>2</Pages>
  <Words>422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2</cp:revision>
  <dcterms:created xsi:type="dcterms:W3CDTF">2025-01-30T17:43:00Z</dcterms:created>
  <dcterms:modified xsi:type="dcterms:W3CDTF">2025-01-30T17:43:00Z</dcterms:modified>
</cp:coreProperties>
</file>