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6E04" w:rsidRDefault="00DA6E04" w:rsidP="00E95696">
      <w:pPr>
        <w:pStyle w:val="Titre"/>
      </w:pPr>
      <w:r>
        <w:t>Anémie par insuffisance médullaire ou aplasie</w:t>
      </w:r>
    </w:p>
    <w:p w:rsidR="00DA6E04" w:rsidRPr="00441780" w:rsidRDefault="00DA6E04" w:rsidP="00E95696">
      <w:pPr>
        <w:pStyle w:val="Titre1"/>
      </w:pPr>
      <w:r>
        <w:t>définition :</w:t>
      </w:r>
    </w:p>
    <w:p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 xml:space="preserve">Anémie par incapacité de la moelle à assurer une hématopoïèse normale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Anémie isolée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Ou </w:t>
      </w:r>
      <w:proofErr w:type="spellStart"/>
      <w:r>
        <w:t>bicytopénie</w:t>
      </w:r>
      <w:proofErr w:type="spellEnd"/>
      <w:r>
        <w:t xml:space="preserve"> (anémie + neutropénie / thrombopénie)</w:t>
      </w:r>
    </w:p>
    <w:p w:rsidR="00DA6E04" w:rsidRPr="00824002" w:rsidRDefault="00DA6E04" w:rsidP="00E95696">
      <w:pPr>
        <w:pStyle w:val="Paragraphedeliste"/>
        <w:numPr>
          <w:ilvl w:val="1"/>
          <w:numId w:val="1"/>
        </w:numPr>
      </w:pPr>
      <w:r>
        <w:t xml:space="preserve">Ou </w:t>
      </w:r>
      <w:proofErr w:type="spellStart"/>
      <w:r>
        <w:t>pancytopénie</w:t>
      </w:r>
      <w:proofErr w:type="spellEnd"/>
      <w:r>
        <w:t xml:space="preserve"> (anémie + neutropénie + thrombopénie) </w:t>
      </w:r>
    </w:p>
    <w:p w:rsidR="00DA6E04" w:rsidRDefault="00DA6E04" w:rsidP="00E95696">
      <w:pPr>
        <w:pStyle w:val="Titre1"/>
      </w:pPr>
      <w:r>
        <w:t>Clinique :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 w:rsidRPr="00BB4C27">
        <w:rPr>
          <w:b/>
          <w:bCs/>
        </w:rPr>
        <w:t xml:space="preserve">Début : </w:t>
      </w:r>
      <w:r>
        <w:t xml:space="preserve">insidieux (anémie ou hémorragique) brusque (infection) </w:t>
      </w:r>
    </w:p>
    <w:p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 xml:space="preserve">Etat :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Anémie : asthénie,, dyspnée, tachycardie, S neurosensoriels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Hémorragique : cutanéomuqueux, viscéral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Infectieux : fièvre, angine, ulcération </w:t>
      </w:r>
      <w:proofErr w:type="spellStart"/>
      <w:r>
        <w:t>bucco-pharyngé</w:t>
      </w:r>
      <w:proofErr w:type="spellEnd"/>
      <w:r>
        <w:t xml:space="preserve"> </w:t>
      </w:r>
    </w:p>
    <w:p w:rsidR="00DA6E04" w:rsidRDefault="00DA6E04" w:rsidP="00E95696">
      <w:pPr>
        <w:pStyle w:val="Titre1"/>
      </w:pPr>
      <w:r>
        <w:t>Biologie :</w:t>
      </w:r>
    </w:p>
    <w:p w:rsidR="00DA6E04" w:rsidRDefault="00DA6E04" w:rsidP="00E95696">
      <w:pPr>
        <w:pStyle w:val="Titre2"/>
      </w:pPr>
      <w:r>
        <w:t xml:space="preserve">Sang : </w:t>
      </w:r>
    </w:p>
    <w:p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>NFS :</w:t>
      </w:r>
    </w:p>
    <w:p w:rsidR="00DA6E04" w:rsidRPr="00E551B3" w:rsidRDefault="00DA6E04" w:rsidP="00E95696">
      <w:pPr>
        <w:pStyle w:val="Paragraphedeliste"/>
        <w:numPr>
          <w:ilvl w:val="1"/>
          <w:numId w:val="1"/>
        </w:numPr>
      </w:pPr>
      <w:r w:rsidRPr="00E551B3">
        <w:rPr>
          <w:rFonts w:eastAsia="Arial Unicode MS"/>
        </w:rPr>
        <w:t xml:space="preserve">Anémie : </w:t>
      </w:r>
      <w:proofErr w:type="spellStart"/>
      <w:r w:rsidRPr="00E551B3">
        <w:rPr>
          <w:rFonts w:eastAsia="Arial Unicode MS"/>
        </w:rPr>
        <w:t>normochrome</w:t>
      </w:r>
      <w:proofErr w:type="spellEnd"/>
      <w:r w:rsidRPr="00E551B3">
        <w:rPr>
          <w:rFonts w:eastAsia="Arial Unicode MS"/>
        </w:rPr>
        <w:t xml:space="preserve"> normocytaire </w:t>
      </w:r>
      <w:proofErr w:type="spellStart"/>
      <w:r w:rsidRPr="00E551B3">
        <w:rPr>
          <w:rFonts w:eastAsia="Arial Unicode MS"/>
        </w:rPr>
        <w:t>arégénérative</w:t>
      </w:r>
      <w:proofErr w:type="spellEnd"/>
      <w:r w:rsidRPr="00E551B3">
        <w:rPr>
          <w:rFonts w:eastAsia="Arial Unicode MS"/>
        </w:rPr>
        <w:t xml:space="preserve"> (réticulocytes ↓)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Leucopénie : neutropénie, lymphocytose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Thrombopénie variable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 w:rsidRPr="00BB4C27">
        <w:rPr>
          <w:b/>
          <w:bCs/>
        </w:rPr>
        <w:t xml:space="preserve">Signes négatifs : </w:t>
      </w:r>
      <w:r>
        <w:t xml:space="preserve">fer normal, pas d’hémolyse </w:t>
      </w:r>
    </w:p>
    <w:p w:rsidR="00DA6E04" w:rsidRDefault="00DA6E04" w:rsidP="00E95696">
      <w:pPr>
        <w:pStyle w:val="Titre2"/>
      </w:pPr>
      <w:r>
        <w:t>Moelle :</w:t>
      </w:r>
    </w:p>
    <w:p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>Médullogramme :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Frottis pauvre en éléments nucléées 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Lignées </w:t>
      </w:r>
      <w:proofErr w:type="spellStart"/>
      <w:r>
        <w:t>érythroblastiques</w:t>
      </w:r>
      <w:proofErr w:type="spellEnd"/>
      <w:r>
        <w:t xml:space="preserve">, granulocytaires, </w:t>
      </w:r>
      <w:proofErr w:type="spellStart"/>
      <w:r>
        <w:t>mégacaryocytaire</w:t>
      </w:r>
      <w:proofErr w:type="spellEnd"/>
      <w:r>
        <w:t xml:space="preserve">, rares 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Lymphocytose et </w:t>
      </w:r>
      <w:proofErr w:type="spellStart"/>
      <w:r>
        <w:t>plasmocytose</w:t>
      </w:r>
      <w:proofErr w:type="spellEnd"/>
      <w:r>
        <w:t xml:space="preserve"> relatives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En fonction étiologie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Envahissement / hémopathies malignes, métastases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Myélodysplasie </w:t>
      </w:r>
    </w:p>
    <w:p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>Biopsie ostéo-médullaire :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Moelle pauvre, désertique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>Modification structurales (fibres, vascularisation)</w:t>
      </w:r>
    </w:p>
    <w:p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>Formes cliniques</w:t>
      </w:r>
      <w:r>
        <w:rPr>
          <w:b/>
          <w:bCs/>
        </w:rPr>
        <w:t> :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proofErr w:type="spellStart"/>
      <w:r>
        <w:t>Monocytopénie</w:t>
      </w:r>
      <w:proofErr w:type="spellEnd"/>
      <w:r>
        <w:t xml:space="preserve">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proofErr w:type="spellStart"/>
      <w:r>
        <w:t>Bicytopénie</w:t>
      </w:r>
      <w:proofErr w:type="spellEnd"/>
      <w:r>
        <w:t xml:space="preserve">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Selon l’intensité et nature acquise et / ou congénitale </w:t>
      </w:r>
    </w:p>
    <w:p w:rsidR="00DA6E04" w:rsidRDefault="00DA6E04" w:rsidP="00E95696">
      <w:pPr>
        <w:pStyle w:val="Titre1"/>
      </w:pPr>
      <w:r>
        <w:t>Etiologies :</w:t>
      </w:r>
    </w:p>
    <w:p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>Adulte :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 w:rsidRPr="00BB4C27">
        <w:rPr>
          <w:b/>
          <w:bCs/>
          <w:i/>
          <w:iCs/>
        </w:rPr>
        <w:lastRenderedPageBreak/>
        <w:t xml:space="preserve">Toxique : </w:t>
      </w:r>
      <w:r>
        <w:t>lignée granulocytaire +++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Produits constamment toxiques benzène, antimitotiques, radiations ionisantes, métaux lourds 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Produits occasionnellement toxiques : chloramphénicol, </w:t>
      </w:r>
      <w:proofErr w:type="spellStart"/>
      <w:r>
        <w:t>hydantoïnes</w:t>
      </w:r>
      <w:proofErr w:type="spellEnd"/>
      <w:r>
        <w:t xml:space="preserve">, antithyroïdiens de synthèse, antalgiques, AINS, sulfamides 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Décoction traditionnelle 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Insecticide </w:t>
      </w:r>
    </w:p>
    <w:p w:rsidR="00DA6E04" w:rsidRPr="00BB4C27" w:rsidRDefault="00DA6E04" w:rsidP="00E9569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B4C27">
        <w:rPr>
          <w:b/>
          <w:bCs/>
          <w:i/>
          <w:iCs/>
        </w:rPr>
        <w:t>Envahissement médullaire :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Cellules hématologiques (hémopathies malignes 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Cellules métastatiques </w:t>
      </w:r>
    </w:p>
    <w:p w:rsidR="00DA6E04" w:rsidRPr="00BB4C27" w:rsidRDefault="00DA6E04" w:rsidP="00E9569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B4C27">
        <w:rPr>
          <w:b/>
          <w:bCs/>
          <w:i/>
          <w:iCs/>
        </w:rPr>
        <w:t>Autres :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Infections (tuberculose, virale) 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Insuffisance rénale 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Tumeur du thymus 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Anémie hémolytique chronique évolutive </w:t>
      </w:r>
    </w:p>
    <w:p w:rsidR="00DA6E04" w:rsidRPr="00BB4C27" w:rsidRDefault="00DA6E04" w:rsidP="00E9569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B4C27">
        <w:rPr>
          <w:b/>
          <w:bCs/>
          <w:i/>
          <w:iCs/>
        </w:rPr>
        <w:t xml:space="preserve">Primitive </w:t>
      </w:r>
    </w:p>
    <w:p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>Enfant :</w:t>
      </w:r>
    </w:p>
    <w:p w:rsidR="00DA6E04" w:rsidRPr="00B3107E" w:rsidRDefault="00DA6E04" w:rsidP="00E9569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3107E">
        <w:rPr>
          <w:b/>
          <w:bCs/>
          <w:i/>
          <w:iCs/>
        </w:rPr>
        <w:t xml:space="preserve">Celles de l’adulte </w:t>
      </w:r>
    </w:p>
    <w:p w:rsidR="00DA6E04" w:rsidRPr="00B3107E" w:rsidRDefault="00DA6E04" w:rsidP="00E9569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3107E">
        <w:rPr>
          <w:b/>
          <w:bCs/>
          <w:i/>
          <w:iCs/>
        </w:rPr>
        <w:t xml:space="preserve">Congénitales 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Maladie de </w:t>
      </w:r>
      <w:proofErr w:type="spellStart"/>
      <w:r>
        <w:t>Blackfan</w:t>
      </w:r>
      <w:proofErr w:type="spellEnd"/>
      <w:r>
        <w:t xml:space="preserve"> </w:t>
      </w:r>
      <w:proofErr w:type="spellStart"/>
      <w:r>
        <w:t>Diamond</w:t>
      </w:r>
      <w:proofErr w:type="spellEnd"/>
      <w:r>
        <w:t xml:space="preserve"> (</w:t>
      </w:r>
      <w:proofErr w:type="spellStart"/>
      <w:r>
        <w:t>érythroblastopénie</w:t>
      </w:r>
      <w:proofErr w:type="spellEnd"/>
      <w:r>
        <w:t xml:space="preserve"> congénitale) 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Maladie de </w:t>
      </w:r>
      <w:proofErr w:type="spellStart"/>
      <w:r>
        <w:t>Fanconi</w:t>
      </w:r>
      <w:proofErr w:type="spellEnd"/>
      <w:r>
        <w:t xml:space="preserve"> (aplasie congénitale) </w:t>
      </w:r>
    </w:p>
    <w:p w:rsidR="00DA6E04" w:rsidRDefault="00DA6E04" w:rsidP="00E95696">
      <w:pPr>
        <w:pStyle w:val="Titre1"/>
      </w:pPr>
      <w:r>
        <w:t>Evolution :</w:t>
      </w:r>
    </w:p>
    <w:p w:rsidR="00DA6E04" w:rsidRPr="00B3107E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3107E">
        <w:rPr>
          <w:b/>
          <w:bCs/>
        </w:rPr>
        <w:t>Immédiatement favorable :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Toxique +++ (15 - 20ème jour) </w:t>
      </w:r>
    </w:p>
    <w:p w:rsidR="00DA6E04" w:rsidRPr="00B3107E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3107E">
        <w:rPr>
          <w:b/>
          <w:bCs/>
        </w:rPr>
        <w:t xml:space="preserve">Immédiatement défavorable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Aggravation </w:t>
      </w:r>
    </w:p>
    <w:p w:rsidR="00DA6E04" w:rsidRPr="00B3107E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3107E">
        <w:rPr>
          <w:b/>
          <w:bCs/>
        </w:rPr>
        <w:t xml:space="preserve">Subaiguë ou chronique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Compensation, prolongation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&gt; Guérison ou aggravation </w:t>
      </w:r>
    </w:p>
    <w:p w:rsidR="00DA6E04" w:rsidRDefault="00DA6E04" w:rsidP="00E95696">
      <w:pPr>
        <w:pStyle w:val="Titre1"/>
      </w:pPr>
      <w:r>
        <w:t xml:space="preserve">Traitement </w:t>
      </w:r>
    </w:p>
    <w:p w:rsidR="00DA6E04" w:rsidRDefault="00DA6E04" w:rsidP="00E95696">
      <w:pPr>
        <w:pStyle w:val="Titre2"/>
      </w:pPr>
      <w:r>
        <w:t>But :</w:t>
      </w:r>
    </w:p>
    <w:p w:rsidR="00DA6E04" w:rsidRPr="00B3107E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3107E">
        <w:rPr>
          <w:b/>
          <w:bCs/>
        </w:rPr>
        <w:t xml:space="preserve">Traiter les symptômes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Hémorragies, anémie, infection </w:t>
      </w:r>
    </w:p>
    <w:p w:rsidR="00DA6E04" w:rsidRPr="00C4716A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C4716A">
        <w:rPr>
          <w:b/>
          <w:bCs/>
        </w:rPr>
        <w:t xml:space="preserve">Reprendre activité médullaire </w:t>
      </w:r>
    </w:p>
    <w:p w:rsidR="00DA6E04" w:rsidRPr="00C4716A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C4716A">
        <w:rPr>
          <w:b/>
          <w:bCs/>
        </w:rPr>
        <w:t xml:space="preserve">Traiter la cause </w:t>
      </w:r>
    </w:p>
    <w:p w:rsidR="00DA6E04" w:rsidRDefault="00DA6E04" w:rsidP="00E95696">
      <w:pPr>
        <w:pStyle w:val="Titre2"/>
      </w:pPr>
      <w:r>
        <w:t>Traitement des symptômes :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 w:rsidRPr="00C4716A">
        <w:rPr>
          <w:b/>
          <w:bCs/>
        </w:rPr>
        <w:t xml:space="preserve">Anémie : </w:t>
      </w:r>
      <w:r>
        <w:t>transfusion culot globulaire (compatibilité ou avec RAI)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 w:rsidRPr="00C4716A">
        <w:rPr>
          <w:b/>
          <w:bCs/>
        </w:rPr>
        <w:t xml:space="preserve">Hémorragie : </w:t>
      </w:r>
      <w:r>
        <w:t xml:space="preserve">transfusion plaquettes ou sang frais, corticoïdes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 w:rsidRPr="00C4716A">
        <w:rPr>
          <w:b/>
          <w:bCs/>
        </w:rPr>
        <w:t xml:space="preserve">Agranulocytose : </w:t>
      </w:r>
      <w:r>
        <w:t xml:space="preserve">chambre stérile, antibiothérapie, facteur de croissance GCSF, GM CSF si aplasie </w:t>
      </w:r>
    </w:p>
    <w:p w:rsidR="00DA6E04" w:rsidRDefault="00DA6E04" w:rsidP="00E95696"/>
    <w:p w:rsidR="00DA6E04" w:rsidRDefault="00DA6E04" w:rsidP="00E95696">
      <w:pPr>
        <w:pStyle w:val="Titre2"/>
      </w:pPr>
      <w:r>
        <w:lastRenderedPageBreak/>
        <w:t>Traitement de fond :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 w:rsidRPr="00C4716A">
        <w:rPr>
          <w:b/>
          <w:bCs/>
        </w:rPr>
        <w:t xml:space="preserve">Arrêt toxique : </w:t>
      </w:r>
      <w:r>
        <w:t xml:space="preserve">décoction, drogue réputée </w:t>
      </w:r>
      <w:proofErr w:type="spellStart"/>
      <w:r>
        <w:t>myélotoxique</w:t>
      </w:r>
      <w:proofErr w:type="spellEnd"/>
      <w:r>
        <w:t xml:space="preserve">, reclassement professionnel </w:t>
      </w:r>
    </w:p>
    <w:p w:rsidR="00DA6E04" w:rsidRPr="00C4716A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C4716A">
        <w:rPr>
          <w:b/>
          <w:bCs/>
        </w:rPr>
        <w:t xml:space="preserve">Stimulants de la moelle osseuse </w:t>
      </w:r>
    </w:p>
    <w:p w:rsidR="00DA6E04" w:rsidRPr="00C4716A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C4716A">
        <w:rPr>
          <w:b/>
          <w:bCs/>
        </w:rPr>
        <w:t xml:space="preserve">Immunosuppresseurs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 w:rsidRPr="00C4716A">
        <w:rPr>
          <w:b/>
          <w:bCs/>
        </w:rPr>
        <w:t xml:space="preserve">Corticoïdes : </w:t>
      </w:r>
      <w:r>
        <w:t>forte dose (2,5 mg/kg Prednisone /j)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 w:rsidRPr="00C4716A">
        <w:rPr>
          <w:b/>
          <w:bCs/>
        </w:rPr>
        <w:t>Greffe de moelle</w:t>
      </w:r>
      <w:r>
        <w:t xml:space="preserve"> ou </w:t>
      </w:r>
      <w:r w:rsidRPr="00C4716A">
        <w:rPr>
          <w:b/>
          <w:bCs/>
        </w:rPr>
        <w:t>greffe de cellules souches</w:t>
      </w:r>
      <w:r>
        <w:t xml:space="preserve"> hématopoïétiques </w:t>
      </w:r>
    </w:p>
    <w:p w:rsidR="00DA6E04" w:rsidRDefault="00DA6E04" w:rsidP="00E95696">
      <w:pPr>
        <w:pStyle w:val="Titre2"/>
      </w:pPr>
      <w:r>
        <w:t>Stimulants de la moelle osseuse :</w:t>
      </w:r>
    </w:p>
    <w:p w:rsidR="00DA6E04" w:rsidRPr="00C4716A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C4716A">
        <w:rPr>
          <w:b/>
          <w:bCs/>
        </w:rPr>
        <w:t>Anabolisant (androgènes) :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proofErr w:type="spellStart"/>
      <w:r>
        <w:t>Primobolan</w:t>
      </w:r>
      <w:proofErr w:type="spellEnd"/>
      <w:r>
        <w:t>*</w:t>
      </w:r>
    </w:p>
    <w:p w:rsidR="00DA6E04" w:rsidRPr="00C751FB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C751FB">
        <w:rPr>
          <w:b/>
          <w:bCs/>
        </w:rPr>
        <w:t xml:space="preserve">Analogues de la </w:t>
      </w:r>
      <w:proofErr w:type="spellStart"/>
      <w:r w:rsidRPr="00C751FB">
        <w:rPr>
          <w:b/>
          <w:bCs/>
        </w:rPr>
        <w:t>thrombopoïétine</w:t>
      </w:r>
      <w:proofErr w:type="spellEnd"/>
      <w:r w:rsidRPr="00C751FB">
        <w:rPr>
          <w:b/>
          <w:bCs/>
        </w:rPr>
        <w:t> :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proofErr w:type="spellStart"/>
      <w:r>
        <w:t>Eltrombopag</w:t>
      </w:r>
      <w:proofErr w:type="spellEnd"/>
      <w:r>
        <w:t xml:space="preserve">* </w:t>
      </w:r>
    </w:p>
    <w:p w:rsidR="00DA6E04" w:rsidRPr="00C751FB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C751FB">
        <w:rPr>
          <w:b/>
          <w:bCs/>
        </w:rPr>
        <w:t>G-CSF :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proofErr w:type="spellStart"/>
      <w:r>
        <w:t>Neupogen</w:t>
      </w:r>
      <w:proofErr w:type="spellEnd"/>
      <w:r>
        <w:t>*</w:t>
      </w:r>
    </w:p>
    <w:p w:rsidR="00DA6E04" w:rsidRDefault="00DA6E04" w:rsidP="00E95696">
      <w:pPr>
        <w:pStyle w:val="Titre2"/>
      </w:pPr>
      <w:r>
        <w:t>Anabolisants :</w:t>
      </w:r>
    </w:p>
    <w:p w:rsidR="00DA6E04" w:rsidRPr="007E742B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Ceux qui sont </w:t>
      </w:r>
      <w:r w:rsidRPr="007E742B">
        <w:rPr>
          <w:b/>
          <w:bCs/>
        </w:rPr>
        <w:t>les moins androgènes :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proofErr w:type="spellStart"/>
      <w:r>
        <w:t>Méténolone</w:t>
      </w:r>
      <w:proofErr w:type="spellEnd"/>
      <w:r>
        <w:t xml:space="preserve"> </w:t>
      </w:r>
      <w:proofErr w:type="spellStart"/>
      <w:r>
        <w:t>Primobolan</w:t>
      </w:r>
      <w:proofErr w:type="spellEnd"/>
      <w:r>
        <w:t>*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1 mg/kg/j &lt; 100 mg/j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proofErr w:type="spellStart"/>
      <w:r>
        <w:t>Fluoxymestérone</w:t>
      </w:r>
      <w:proofErr w:type="spellEnd"/>
      <w:r>
        <w:t xml:space="preserve"> </w:t>
      </w:r>
      <w:proofErr w:type="spellStart"/>
      <w:r>
        <w:t>Halotestin</w:t>
      </w:r>
      <w:proofErr w:type="spellEnd"/>
      <w:r>
        <w:t>*</w:t>
      </w:r>
    </w:p>
    <w:p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2 - 4 </w:t>
      </w:r>
      <w:proofErr w:type="spellStart"/>
      <w:r>
        <w:t>comp</w:t>
      </w:r>
      <w:proofErr w:type="spellEnd"/>
      <w:r>
        <w:t xml:space="preserve"> à 5 mg/j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 w:rsidRPr="007E742B">
        <w:rPr>
          <w:b/>
          <w:bCs/>
        </w:rPr>
        <w:t xml:space="preserve">Prolongée : </w:t>
      </w:r>
      <w:r>
        <w:t xml:space="preserve">sup 4 mois </w:t>
      </w:r>
    </w:p>
    <w:p w:rsidR="00DA6E04" w:rsidRPr="007E742B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7E742B">
        <w:rPr>
          <w:b/>
          <w:bCs/>
        </w:rPr>
        <w:t xml:space="preserve">Arrêt progressif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 w:rsidRPr="007E742B">
        <w:rPr>
          <w:b/>
          <w:bCs/>
        </w:rPr>
        <w:t xml:space="preserve">Complications : </w:t>
      </w:r>
      <w:r>
        <w:t xml:space="preserve">hépatiques, virilisantes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 w:rsidRPr="007E742B">
        <w:rPr>
          <w:rFonts w:eastAsia="Arial Unicode MS"/>
          <w:b/>
          <w:bCs/>
        </w:rPr>
        <w:t>Anabolisants sensibles</w:t>
      </w:r>
      <w:r w:rsidRPr="004130F3">
        <w:rPr>
          <w:rFonts w:eastAsia="Arial Unicode MS"/>
        </w:rPr>
        <w:t xml:space="preserve"> (4 mois à 2 ans) / </w:t>
      </w:r>
      <w:r w:rsidRPr="007E742B">
        <w:rPr>
          <w:rFonts w:eastAsia="Arial Unicode MS"/>
          <w:b/>
          <w:bCs/>
        </w:rPr>
        <w:t>résistants</w:t>
      </w:r>
      <w:r w:rsidRPr="004130F3">
        <w:rPr>
          <w:rFonts w:eastAsia="Arial Unicode MS"/>
        </w:rPr>
        <w:t xml:space="preserve"> (→</w:t>
      </w:r>
      <w:r>
        <w:rPr>
          <w:rFonts w:eastAsia="Arial Unicode MS"/>
        </w:rPr>
        <w:t xml:space="preserve"> </w:t>
      </w:r>
      <w:r w:rsidRPr="004130F3">
        <w:rPr>
          <w:rFonts w:eastAsia="Arial Unicode MS"/>
        </w:rPr>
        <w:t>greffe de moelle)</w:t>
      </w:r>
    </w:p>
    <w:p w:rsidR="00DA6E04" w:rsidRDefault="00DA6E04" w:rsidP="00E95696">
      <w:pPr>
        <w:pStyle w:val="Titre2"/>
      </w:pPr>
      <w:r>
        <w:t>Immunosuppresseurs :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La ciclosporine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Le sérum anti-lymphocytaire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>L’</w:t>
      </w:r>
      <w:proofErr w:type="spellStart"/>
      <w:r>
        <w:t>alemtuzumab</w:t>
      </w:r>
      <w:proofErr w:type="spellEnd"/>
      <w:r>
        <w:t xml:space="preserve"> (</w:t>
      </w:r>
      <w:proofErr w:type="spellStart"/>
      <w:r>
        <w:t>Ac</w:t>
      </w:r>
      <w:proofErr w:type="spellEnd"/>
      <w:r>
        <w:t xml:space="preserve"> anti LT) :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Etiologie idiopathique, auto immune </w:t>
      </w:r>
    </w:p>
    <w:p w:rsidR="00DA6E04" w:rsidRDefault="00DA6E04" w:rsidP="00E95696">
      <w:pPr>
        <w:pStyle w:val="Titre2"/>
      </w:pPr>
      <w:r>
        <w:t>Greffe de moelle osseuse :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Donneur HLA compatible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>Conditionnement : aplasie (chimio, irradiation)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>Greffe (IV)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 w:rsidRPr="007E742B">
        <w:rPr>
          <w:b/>
          <w:bCs/>
        </w:rPr>
        <w:t xml:space="preserve">Suivi de greffe : </w:t>
      </w:r>
      <w:r>
        <w:t xml:space="preserve">immunosuppresseur </w:t>
      </w:r>
    </w:p>
    <w:p w:rsidR="00DA6E04" w:rsidRDefault="00DA6E04" w:rsidP="00E95696">
      <w:pPr>
        <w:pStyle w:val="Titre2"/>
      </w:pPr>
      <w:r>
        <w:t>Choix du traitement de l’aplasie médullaire :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 w:rsidRPr="001065BF">
        <w:rPr>
          <w:b/>
          <w:bCs/>
        </w:rPr>
        <w:t>Au cas par cas</w:t>
      </w:r>
      <w:r>
        <w:t xml:space="preserve"> en fonction :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De la cause de l’aplasie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De la sévérité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De l’âge du patient </w:t>
      </w:r>
    </w:p>
    <w:p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D’éventuels traitements antérieurs </w:t>
      </w:r>
    </w:p>
    <w:p w:rsidR="00DA6E04" w:rsidRDefault="00DA6E04" w:rsidP="00E95696">
      <w:pPr>
        <w:pStyle w:val="Titre2"/>
      </w:pPr>
      <w:r>
        <w:lastRenderedPageBreak/>
        <w:t>Envahissement médullaire :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Traitement de l’hémopathie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PEC du cancer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Support transfusionnel (+ hémovigilance)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>Culot globulaire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Plaquettes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Antibiothérapie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Correction des troubles métaboliques </w:t>
      </w:r>
    </w:p>
    <w:p w:rsidR="00DA6E04" w:rsidRDefault="00DA6E04" w:rsidP="00E95696">
      <w:pPr>
        <w:pStyle w:val="Titre2"/>
      </w:pPr>
      <w:r>
        <w:t>Myélodysplasie :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Support transfusionnel (+ hémovigilance)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Culots globulaire </w:t>
      </w:r>
    </w:p>
    <w:p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Plaquettes </w:t>
      </w:r>
    </w:p>
    <w:p w:rsidR="00DA6E04" w:rsidRPr="00161FFA" w:rsidRDefault="00DA6E04" w:rsidP="00E95696">
      <w:pPr>
        <w:pStyle w:val="Paragraphedeliste"/>
        <w:numPr>
          <w:ilvl w:val="0"/>
          <w:numId w:val="1"/>
        </w:numPr>
      </w:pPr>
      <w:r>
        <w:t xml:space="preserve">Surveiller la transformation aiguë éventuelle </w:t>
      </w:r>
    </w:p>
    <w:p w:rsidR="0035775F" w:rsidRDefault="0035775F"/>
    <w:sectPr w:rsidR="0035775F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6E04" w:rsidRDefault="00DA6E04" w:rsidP="00DA6E04">
      <w:pPr>
        <w:spacing w:before="0" w:after="0" w:line="240" w:lineRule="auto"/>
      </w:pPr>
      <w:r>
        <w:separator/>
      </w:r>
    </w:p>
  </w:endnote>
  <w:endnote w:type="continuationSeparator" w:id="0">
    <w:p w:rsidR="00DA6E04" w:rsidRDefault="00DA6E04" w:rsidP="00DA6E0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112851064"/>
      <w:docPartObj>
        <w:docPartGallery w:val="Page Numbers (Bottom of Page)"/>
        <w:docPartUnique/>
      </w:docPartObj>
    </w:sdtPr>
    <w:sdtContent>
      <w:p w:rsidR="006832BD" w:rsidRDefault="006832BD" w:rsidP="0039146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-756669232"/>
      <w:docPartObj>
        <w:docPartGallery w:val="Page Numbers (Bottom of Page)"/>
        <w:docPartUnique/>
      </w:docPartObj>
    </w:sdtPr>
    <w:sdtContent>
      <w:p w:rsidR="006832BD" w:rsidRDefault="006832BD" w:rsidP="0039146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DA6E04" w:rsidRDefault="00DA6E0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841358088"/>
      <w:docPartObj>
        <w:docPartGallery w:val="Page Numbers (Bottom of Page)"/>
        <w:docPartUnique/>
      </w:docPartObj>
    </w:sdtPr>
    <w:sdtContent>
      <w:p w:rsidR="006832BD" w:rsidRDefault="006832BD" w:rsidP="0039146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:rsidR="00DA6E04" w:rsidRDefault="00DA6E0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6E04" w:rsidRDefault="00DA6E04" w:rsidP="00DA6E04">
      <w:pPr>
        <w:spacing w:before="0" w:after="0" w:line="240" w:lineRule="auto"/>
      </w:pPr>
      <w:r>
        <w:separator/>
      </w:r>
    </w:p>
  </w:footnote>
  <w:footnote w:type="continuationSeparator" w:id="0">
    <w:p w:rsidR="00DA6E04" w:rsidRDefault="00DA6E04" w:rsidP="00DA6E0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6E04" w:rsidRDefault="006832BD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0B299E"/>
    <w:multiLevelType w:val="hybridMultilevel"/>
    <w:tmpl w:val="82964A8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20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04"/>
    <w:rsid w:val="002227D3"/>
    <w:rsid w:val="0035775F"/>
    <w:rsid w:val="005F5B1B"/>
    <w:rsid w:val="00620B83"/>
    <w:rsid w:val="006832BD"/>
    <w:rsid w:val="00911179"/>
    <w:rsid w:val="009E48A4"/>
    <w:rsid w:val="009F0590"/>
    <w:rsid w:val="00A15F22"/>
    <w:rsid w:val="00B7070B"/>
    <w:rsid w:val="00CC6AF8"/>
    <w:rsid w:val="00DA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6ED3"/>
  <w15:chartTrackingRefBased/>
  <w15:docId w15:val="{F6BA8AC5-E931-C749-AC98-807D3E83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Paragraphedeliste">
    <w:name w:val="List Paragraph"/>
    <w:basedOn w:val="Normal"/>
    <w:uiPriority w:val="34"/>
    <w:qFormat/>
    <w:rsid w:val="00DA6E0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A6E0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6E04"/>
  </w:style>
  <w:style w:type="paragraph" w:styleId="Pieddepage">
    <w:name w:val="footer"/>
    <w:basedOn w:val="Normal"/>
    <w:link w:val="PieddepageCar"/>
    <w:uiPriority w:val="99"/>
    <w:unhideWhenUsed/>
    <w:rsid w:val="00DA6E0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6E04"/>
  </w:style>
  <w:style w:type="character" w:styleId="Numrodepage">
    <w:name w:val="page number"/>
    <w:basedOn w:val="Policepardfaut"/>
    <w:uiPriority w:val="99"/>
    <w:semiHidden/>
    <w:unhideWhenUsed/>
    <w:rsid w:val="00683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hématologie.dotx</Template>
  <TotalTime>0</TotalTime>
  <Pages>4</Pages>
  <Words>604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</cp:revision>
  <dcterms:created xsi:type="dcterms:W3CDTF">2025-01-30T18:00:00Z</dcterms:created>
  <dcterms:modified xsi:type="dcterms:W3CDTF">2025-01-30T18:00:00Z</dcterms:modified>
</cp:coreProperties>
</file>