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CDC" w:rsidRDefault="008D0A68" w:rsidP="007A0BF6">
      <w:pPr>
        <w:pStyle w:val="Titre"/>
      </w:pPr>
      <w:r>
        <w:t xml:space="preserve">infections néonatales bactériennes précoces (INBP) </w:t>
      </w:r>
      <w:r w:rsidR="00127E81">
        <w:rPr>
          <w:caps w:val="0"/>
        </w:rPr>
        <w:t>ou</w:t>
      </w:r>
      <w:r>
        <w:t xml:space="preserve"> infections materno-fœtales bactériennes</w:t>
      </w:r>
    </w:p>
    <w:p w:rsidR="007A0BF6" w:rsidRDefault="007A0BF6" w:rsidP="007A0BF6">
      <w:pPr>
        <w:jc w:val="right"/>
      </w:pPr>
      <w:r>
        <w:t>Pr</w:t>
      </w:r>
      <w:r w:rsidR="00127E81">
        <w:t xml:space="preserve"> ROBINSON Annick L.</w:t>
      </w:r>
    </w:p>
    <w:p w:rsidR="007A0BF6" w:rsidRPr="007A0BF6" w:rsidRDefault="007A0BF6" w:rsidP="007A0BF6">
      <w:pPr>
        <w:spacing w:after="0"/>
        <w:rPr>
          <w:b/>
          <w:bCs/>
          <w:i/>
          <w:iCs/>
        </w:rPr>
      </w:pPr>
      <w:r w:rsidRPr="007A0BF6">
        <w:rPr>
          <w:b/>
          <w:bCs/>
          <w:i/>
          <w:iCs/>
        </w:rPr>
        <w:t>Objectifs :</w:t>
      </w:r>
    </w:p>
    <w:p w:rsidR="007A0BF6" w:rsidRDefault="00127E81" w:rsidP="007A0BF6">
      <w:pPr>
        <w:pStyle w:val="Paragraphedeliste"/>
        <w:numPr>
          <w:ilvl w:val="0"/>
          <w:numId w:val="2"/>
        </w:numPr>
      </w:pPr>
      <w:r>
        <w:t>Rechercher les facteurs de risque</w:t>
      </w:r>
    </w:p>
    <w:p w:rsidR="00127E81" w:rsidRDefault="00127E81" w:rsidP="007A0BF6">
      <w:pPr>
        <w:pStyle w:val="Paragraphedeliste"/>
        <w:numPr>
          <w:ilvl w:val="0"/>
          <w:numId w:val="2"/>
        </w:numPr>
      </w:pPr>
      <w:r>
        <w:t>Poser le diagnostic</w:t>
      </w:r>
    </w:p>
    <w:p w:rsidR="00127E81" w:rsidRDefault="00127E81" w:rsidP="007A0BF6">
      <w:pPr>
        <w:pStyle w:val="Paragraphedeliste"/>
        <w:numPr>
          <w:ilvl w:val="0"/>
          <w:numId w:val="2"/>
        </w:numPr>
      </w:pPr>
      <w:r>
        <w:t>Mettre en route le traitement</w:t>
      </w:r>
    </w:p>
    <w:p w:rsidR="007A0BF6" w:rsidRDefault="007A0BF6" w:rsidP="00EA19EB">
      <w:pPr>
        <w:pStyle w:val="Titre1"/>
      </w:pPr>
      <w:r>
        <w:t>Introduction :</w:t>
      </w:r>
    </w:p>
    <w:p w:rsidR="007A0BF6" w:rsidRDefault="00EA19EB" w:rsidP="007A0BF6">
      <w:pPr>
        <w:pStyle w:val="Paragraphedeliste"/>
        <w:numPr>
          <w:ilvl w:val="0"/>
          <w:numId w:val="1"/>
        </w:numPr>
      </w:pPr>
      <w:r>
        <w:t xml:space="preserve">INBP = infections constatées chez le nouveau-né, contaminé par sa mère pendant la grossesse ou au moment de l’accouchement </w:t>
      </w:r>
    </w:p>
    <w:p w:rsidR="00EA19EB" w:rsidRDefault="00EA19EB" w:rsidP="007A0BF6">
      <w:pPr>
        <w:pStyle w:val="Paragraphedeliste"/>
        <w:numPr>
          <w:ilvl w:val="0"/>
          <w:numId w:val="1"/>
        </w:numPr>
      </w:pPr>
      <w:r>
        <w:t xml:space="preserve">Infections tardives : après 3 jours de vie </w:t>
      </w:r>
    </w:p>
    <w:p w:rsidR="00EA19EB" w:rsidRDefault="00EA19EB" w:rsidP="007A0BF6">
      <w:pPr>
        <w:pStyle w:val="Paragraphedeliste"/>
        <w:numPr>
          <w:ilvl w:val="0"/>
          <w:numId w:val="1"/>
        </w:numPr>
      </w:pPr>
      <w:r>
        <w:t>Causes : bactériennes</w:t>
      </w:r>
    </w:p>
    <w:p w:rsidR="00125B77" w:rsidRDefault="00125B77" w:rsidP="007A0BF6">
      <w:pPr>
        <w:pStyle w:val="Paragraphedeliste"/>
        <w:numPr>
          <w:ilvl w:val="0"/>
          <w:numId w:val="1"/>
        </w:numPr>
      </w:pPr>
      <w:r w:rsidRPr="00330555">
        <w:rPr>
          <w:b/>
          <w:bCs/>
        </w:rPr>
        <w:t>INBP certaine :</w:t>
      </w:r>
      <w:r>
        <w:t xml:space="preserve"> </w:t>
      </w:r>
      <w:r w:rsidR="00330555">
        <w:t xml:space="preserve">au </w:t>
      </w:r>
      <w:r>
        <w:t>moins un prélèvement central (hémoculture, LCR) est positif à un germe pathogène</w:t>
      </w:r>
    </w:p>
    <w:p w:rsidR="00125B77" w:rsidRDefault="00125B77" w:rsidP="007A0BF6">
      <w:pPr>
        <w:pStyle w:val="Paragraphedeliste"/>
        <w:numPr>
          <w:ilvl w:val="0"/>
          <w:numId w:val="1"/>
        </w:numPr>
      </w:pPr>
      <w:r w:rsidRPr="00330555">
        <w:rPr>
          <w:b/>
          <w:bCs/>
        </w:rPr>
        <w:t>INBP probable :</w:t>
      </w:r>
      <w:r>
        <w:t xml:space="preserve"> prélèvements centraux négatifs mais éléments anamnestiques, cliniques et biologiques évocateurs </w:t>
      </w:r>
    </w:p>
    <w:p w:rsidR="00125B77" w:rsidRDefault="00125B77" w:rsidP="007A0BF6">
      <w:pPr>
        <w:pStyle w:val="Paragraphedeliste"/>
        <w:numPr>
          <w:ilvl w:val="0"/>
          <w:numId w:val="1"/>
        </w:numPr>
      </w:pPr>
      <w:r w:rsidRPr="00330555">
        <w:rPr>
          <w:b/>
          <w:bCs/>
        </w:rPr>
        <w:t>Suspicion INBP :</w:t>
      </w:r>
      <w:r>
        <w:t xml:space="preserve"> nouveau-né symptomatique ou non et dont l’infection est à confirmer par les prélèvements centraux et/ou biologiques </w:t>
      </w:r>
    </w:p>
    <w:p w:rsidR="006C14B0" w:rsidRPr="003B2F05" w:rsidRDefault="00710F61" w:rsidP="00710F61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B2F05">
        <w:rPr>
          <w:b/>
          <w:bCs/>
          <w:color w:val="7030A0" w:themeColor="accent1"/>
        </w:rPr>
        <w:t>Epidémiologique</w:t>
      </w:r>
      <w:r w:rsidR="006C14B0" w:rsidRPr="003B2F05">
        <w:rPr>
          <w:b/>
          <w:bCs/>
          <w:color w:val="7030A0" w:themeColor="accent1"/>
        </w:rPr>
        <w:t> :</w:t>
      </w:r>
    </w:p>
    <w:p w:rsidR="006C14B0" w:rsidRDefault="006C14B0" w:rsidP="00710F61">
      <w:pPr>
        <w:pStyle w:val="Paragraphedeliste"/>
        <w:numPr>
          <w:ilvl w:val="1"/>
          <w:numId w:val="1"/>
        </w:numPr>
      </w:pPr>
      <w:r w:rsidRPr="009332A4">
        <w:rPr>
          <w:b/>
          <w:bCs/>
        </w:rPr>
        <w:t xml:space="preserve">Incidence : </w:t>
      </w:r>
      <w:r w:rsidR="00977A4D">
        <w:t>0,1 à 1% naissances vivantes</w:t>
      </w:r>
    </w:p>
    <w:p w:rsidR="00977A4D" w:rsidRDefault="00977A4D" w:rsidP="00710F61">
      <w:pPr>
        <w:pStyle w:val="Paragraphedeliste"/>
        <w:numPr>
          <w:ilvl w:val="1"/>
          <w:numId w:val="1"/>
        </w:numPr>
      </w:pPr>
      <w:r w:rsidRPr="009332A4">
        <w:rPr>
          <w:b/>
          <w:bCs/>
        </w:rPr>
        <w:t xml:space="preserve">OMS : </w:t>
      </w:r>
      <w:r>
        <w:t>20% des NN sont infectés dans les PVD</w:t>
      </w:r>
    </w:p>
    <w:p w:rsidR="00977A4D" w:rsidRDefault="00977A4D" w:rsidP="00710F61">
      <w:pPr>
        <w:pStyle w:val="Paragraphedeliste"/>
        <w:numPr>
          <w:ilvl w:val="1"/>
          <w:numId w:val="1"/>
        </w:numPr>
      </w:pPr>
      <w:r>
        <w:t xml:space="preserve">2 à 4 fois plus </w:t>
      </w:r>
      <w:r w:rsidR="00710F61">
        <w:t>fréquents</w:t>
      </w:r>
      <w:r>
        <w:t xml:space="preserve"> chez  les prématurés</w:t>
      </w:r>
    </w:p>
    <w:p w:rsidR="00977A4D" w:rsidRPr="003B2F05" w:rsidRDefault="00977A4D" w:rsidP="00710F61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B2F05">
        <w:rPr>
          <w:b/>
          <w:bCs/>
          <w:color w:val="7030A0" w:themeColor="accent1"/>
        </w:rPr>
        <w:t>Gravité de l’IMF :</w:t>
      </w:r>
    </w:p>
    <w:p w:rsidR="00977A4D" w:rsidRDefault="00977A4D" w:rsidP="00710F61">
      <w:pPr>
        <w:pStyle w:val="Paragraphedeliste"/>
        <w:numPr>
          <w:ilvl w:val="1"/>
          <w:numId w:val="1"/>
        </w:numPr>
      </w:pPr>
      <w:r w:rsidRPr="009332A4">
        <w:rPr>
          <w:b/>
          <w:bCs/>
        </w:rPr>
        <w:t xml:space="preserve">Mortalité = </w:t>
      </w:r>
      <w:r>
        <w:t xml:space="preserve">10% </w:t>
      </w:r>
      <w:r w:rsidR="00710F61">
        <w:t>(prématurées +++)</w:t>
      </w:r>
    </w:p>
    <w:p w:rsidR="00710F61" w:rsidRDefault="00710F61" w:rsidP="00710F61">
      <w:pPr>
        <w:pStyle w:val="Paragraphedeliste"/>
        <w:numPr>
          <w:ilvl w:val="1"/>
          <w:numId w:val="1"/>
        </w:numPr>
      </w:pPr>
      <w:r w:rsidRPr="009332A4">
        <w:rPr>
          <w:b/>
          <w:bCs/>
        </w:rPr>
        <w:t xml:space="preserve">A  Madagascar : </w:t>
      </w:r>
      <w:r>
        <w:t xml:space="preserve">23% des NN décédés dus à une infection </w:t>
      </w:r>
    </w:p>
    <w:p w:rsidR="00710F61" w:rsidRDefault="00710F61" w:rsidP="00710F61">
      <w:pPr>
        <w:pStyle w:val="Paragraphedeliste"/>
        <w:numPr>
          <w:ilvl w:val="1"/>
          <w:numId w:val="1"/>
        </w:numPr>
      </w:pPr>
      <w:r w:rsidRPr="009332A4">
        <w:rPr>
          <w:b/>
          <w:bCs/>
        </w:rPr>
        <w:t>Taux de mortalité à Antananarivo :</w:t>
      </w:r>
      <w:r>
        <w:t xml:space="preserve"> 6% à 24% (selon le centre)</w:t>
      </w:r>
    </w:p>
    <w:p w:rsidR="00710F61" w:rsidRPr="003B2F05" w:rsidRDefault="00710F61" w:rsidP="00710F61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3B2F05">
        <w:rPr>
          <w:b/>
          <w:bCs/>
          <w:color w:val="C00000"/>
        </w:rPr>
        <w:t>Urgence médicale+++</w:t>
      </w:r>
    </w:p>
    <w:p w:rsidR="007A0BF6" w:rsidRDefault="00DC739D" w:rsidP="00DC739D">
      <w:pPr>
        <w:pStyle w:val="Titre2"/>
      </w:pPr>
      <w:r>
        <w:t>Voies de transmission :</w:t>
      </w:r>
    </w:p>
    <w:p w:rsidR="00DC739D" w:rsidRDefault="00DC739D" w:rsidP="00DC739D">
      <w:pPr>
        <w:pStyle w:val="Paragraphedeliste"/>
        <w:numPr>
          <w:ilvl w:val="0"/>
          <w:numId w:val="1"/>
        </w:numPr>
      </w:pPr>
      <w:r>
        <w:t xml:space="preserve">Voie hématogène, </w:t>
      </w:r>
      <w:proofErr w:type="spellStart"/>
      <w:r>
        <w:t>trans</w:t>
      </w:r>
      <w:proofErr w:type="spellEnd"/>
      <w:r w:rsidR="004870F2">
        <w:t>-</w:t>
      </w:r>
      <w:r>
        <w:t xml:space="preserve">placentaire </w:t>
      </w:r>
    </w:p>
    <w:p w:rsidR="004870F2" w:rsidRDefault="004870F2" w:rsidP="00DC739D">
      <w:pPr>
        <w:pStyle w:val="Paragraphedeliste"/>
        <w:numPr>
          <w:ilvl w:val="0"/>
          <w:numId w:val="1"/>
        </w:numPr>
      </w:pPr>
      <w:r>
        <w:t>Ascendante</w:t>
      </w:r>
    </w:p>
    <w:p w:rsidR="004870F2" w:rsidRPr="00845822" w:rsidRDefault="004870F2" w:rsidP="00DC739D">
      <w:pPr>
        <w:pStyle w:val="Paragraphedeliste"/>
        <w:numPr>
          <w:ilvl w:val="0"/>
          <w:numId w:val="1"/>
        </w:numPr>
        <w:rPr>
          <w:rFonts w:ascii="Edwardian Script ITC" w:hAnsi="Edwardian Script ITC"/>
          <w:sz w:val="22"/>
          <w:szCs w:val="22"/>
        </w:rPr>
      </w:pPr>
      <w:r>
        <w:t>Par contiguïté</w:t>
      </w:r>
      <w:r w:rsidR="0003425A" w:rsidRPr="00845822">
        <w:rPr>
          <w:rFonts w:ascii="Edwardian Script ITC" w:hAnsi="Edwardian Script ITC"/>
          <w:sz w:val="22"/>
          <w:szCs w:val="22"/>
        </w:rPr>
        <w:t xml:space="preserve"> (</w:t>
      </w:r>
      <w:proofErr w:type="spellStart"/>
      <w:r w:rsidR="0003425A" w:rsidRPr="00845822">
        <w:rPr>
          <w:rFonts w:ascii="Edwardian Script ITC" w:hAnsi="Edwardian Script ITC"/>
          <w:sz w:val="22"/>
          <w:szCs w:val="22"/>
        </w:rPr>
        <w:t>chorio-amniotite</w:t>
      </w:r>
      <w:proofErr w:type="spellEnd"/>
      <w:r w:rsidR="0003425A" w:rsidRPr="00845822">
        <w:rPr>
          <w:rFonts w:ascii="Edwardian Script ITC" w:hAnsi="Edwardian Script ITC"/>
          <w:sz w:val="22"/>
          <w:szCs w:val="22"/>
        </w:rPr>
        <w:t>)</w:t>
      </w:r>
    </w:p>
    <w:p w:rsidR="004870F2" w:rsidRPr="00845822" w:rsidRDefault="004870F2" w:rsidP="00DC739D">
      <w:pPr>
        <w:pStyle w:val="Paragraphedeliste"/>
        <w:numPr>
          <w:ilvl w:val="0"/>
          <w:numId w:val="1"/>
        </w:numPr>
        <w:rPr>
          <w:rFonts w:ascii="Edwardian Script ITC" w:hAnsi="Edwardian Script ITC"/>
          <w:sz w:val="22"/>
          <w:szCs w:val="22"/>
        </w:rPr>
      </w:pPr>
      <w:r>
        <w:t>Accouchement</w:t>
      </w:r>
      <w:r w:rsidRPr="00845822">
        <w:rPr>
          <w:rFonts w:ascii="Edwardian Script ITC" w:hAnsi="Edwardian Script ITC"/>
          <w:sz w:val="22"/>
          <w:szCs w:val="22"/>
        </w:rPr>
        <w:t xml:space="preserve"> </w:t>
      </w:r>
      <w:r w:rsidR="00A4323D" w:rsidRPr="00845822">
        <w:rPr>
          <w:rFonts w:ascii="Edwardian Script ITC" w:hAnsi="Edwardian Script ITC"/>
          <w:sz w:val="22"/>
          <w:szCs w:val="22"/>
        </w:rPr>
        <w:t>(passage dans la filière génitale)</w:t>
      </w:r>
    </w:p>
    <w:p w:rsidR="007A0BF6" w:rsidRDefault="00E67A97" w:rsidP="009B0ECC">
      <w:pPr>
        <w:pStyle w:val="Titre2"/>
      </w:pPr>
      <w:r>
        <w:t>Germes :</w:t>
      </w:r>
    </w:p>
    <w:p w:rsidR="00E67A97" w:rsidRPr="008A595D" w:rsidRDefault="00F4511C" w:rsidP="00F4511C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8A595D">
        <w:rPr>
          <w:b/>
          <w:bCs/>
        </w:rPr>
        <w:t xml:space="preserve">INN précoce : </w:t>
      </w:r>
      <w:r w:rsidRPr="008A595D">
        <w:rPr>
          <w:b/>
          <w:bCs/>
          <w:i/>
          <w:iCs/>
        </w:rPr>
        <w:t>Streptocoque B, E</w:t>
      </w:r>
      <w:r w:rsidR="00D543BE" w:rsidRPr="008A595D">
        <w:rPr>
          <w:b/>
          <w:bCs/>
          <w:i/>
          <w:iCs/>
        </w:rPr>
        <w:t>.</w:t>
      </w:r>
      <w:r w:rsidRPr="008A595D">
        <w:rPr>
          <w:b/>
          <w:bCs/>
          <w:i/>
          <w:iCs/>
        </w:rPr>
        <w:t xml:space="preserve"> coli, L</w:t>
      </w:r>
      <w:r w:rsidR="00D543BE" w:rsidRPr="008A595D">
        <w:rPr>
          <w:b/>
          <w:bCs/>
          <w:i/>
          <w:iCs/>
        </w:rPr>
        <w:t>.</w:t>
      </w:r>
      <w:r w:rsidRPr="008A595D">
        <w:rPr>
          <w:b/>
          <w:bCs/>
          <w:i/>
          <w:iCs/>
        </w:rPr>
        <w:t xml:space="preserve"> </w:t>
      </w:r>
      <w:proofErr w:type="spellStart"/>
      <w:r w:rsidRPr="008A595D">
        <w:rPr>
          <w:b/>
          <w:bCs/>
          <w:i/>
          <w:iCs/>
        </w:rPr>
        <w:t>monocytogenes</w:t>
      </w:r>
      <w:proofErr w:type="spellEnd"/>
    </w:p>
    <w:p w:rsidR="00F4511C" w:rsidRDefault="00F4511C" w:rsidP="00F4511C">
      <w:pPr>
        <w:pStyle w:val="Paragraphedeliste"/>
        <w:numPr>
          <w:ilvl w:val="0"/>
          <w:numId w:val="1"/>
        </w:numPr>
      </w:pPr>
      <w:r>
        <w:t>Autres germes</w:t>
      </w:r>
      <w:r w:rsidR="004908A4">
        <w:t xml:space="preserve"> : </w:t>
      </w:r>
      <w:r w:rsidR="004908A4" w:rsidRPr="002A39D5">
        <w:rPr>
          <w:i/>
          <w:iCs/>
        </w:rPr>
        <w:t>Staphylocoques</w:t>
      </w:r>
      <w:r w:rsidR="004908A4" w:rsidRPr="00D543BE">
        <w:rPr>
          <w:i/>
          <w:iCs/>
        </w:rPr>
        <w:t xml:space="preserve">, H influenzae, S </w:t>
      </w:r>
      <w:proofErr w:type="spellStart"/>
      <w:r w:rsidR="004908A4" w:rsidRPr="00D543BE">
        <w:rPr>
          <w:i/>
          <w:iCs/>
        </w:rPr>
        <w:t>pneumoniae</w:t>
      </w:r>
      <w:proofErr w:type="spellEnd"/>
      <w:r w:rsidR="004908A4" w:rsidRPr="00D543BE">
        <w:rPr>
          <w:i/>
          <w:iCs/>
        </w:rPr>
        <w:t>, méningocoques, anaérobies</w:t>
      </w:r>
    </w:p>
    <w:p w:rsidR="004908A4" w:rsidRPr="008A595D" w:rsidRDefault="004908A4" w:rsidP="00F4511C">
      <w:pPr>
        <w:pStyle w:val="Paragraphedeliste"/>
        <w:numPr>
          <w:ilvl w:val="0"/>
          <w:numId w:val="1"/>
        </w:numPr>
        <w:rPr>
          <w:b/>
          <w:bCs/>
        </w:rPr>
      </w:pPr>
      <w:r w:rsidRPr="008A595D">
        <w:rPr>
          <w:b/>
          <w:bCs/>
        </w:rPr>
        <w:t>Emergence des BMR</w:t>
      </w:r>
      <w:r w:rsidR="00D543BE" w:rsidRPr="008A595D">
        <w:rPr>
          <w:b/>
          <w:bCs/>
        </w:rPr>
        <w:t xml:space="preserve"> </w:t>
      </w:r>
    </w:p>
    <w:p w:rsidR="007A0BF6" w:rsidRDefault="00D677DD" w:rsidP="00D677DD">
      <w:pPr>
        <w:pStyle w:val="Titre1"/>
      </w:pPr>
      <w:r>
        <w:lastRenderedPageBreak/>
        <w:t>Diagnostic positif :</w:t>
      </w:r>
    </w:p>
    <w:p w:rsidR="00D677DD" w:rsidRDefault="00D677DD" w:rsidP="00DE2DE6">
      <w:pPr>
        <w:pStyle w:val="Titre2"/>
      </w:pPr>
      <w:r>
        <w:t>Anamnèse :</w:t>
      </w:r>
    </w:p>
    <w:p w:rsidR="00D677DD" w:rsidRDefault="00D677DD" w:rsidP="00DE2DE6">
      <w:pPr>
        <w:pStyle w:val="Titre3"/>
      </w:pPr>
      <w:r>
        <w:t>Antécédents :</w:t>
      </w:r>
    </w:p>
    <w:p w:rsidR="00D677DD" w:rsidRPr="008A3617" w:rsidRDefault="00D677DD" w:rsidP="00D677DD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8A3617">
        <w:rPr>
          <w:b/>
          <w:bCs/>
          <w:color w:val="7030A0" w:themeColor="accent1"/>
        </w:rPr>
        <w:t>Grossesse :</w:t>
      </w:r>
    </w:p>
    <w:p w:rsidR="00D677DD" w:rsidRDefault="00D677DD" w:rsidP="00D677DD">
      <w:pPr>
        <w:pStyle w:val="Paragraphedeliste"/>
        <w:numPr>
          <w:ilvl w:val="1"/>
          <w:numId w:val="1"/>
        </w:numPr>
      </w:pPr>
      <w:r>
        <w:t xml:space="preserve">Episode fébrile </w:t>
      </w:r>
      <w:r w:rsidR="00220AC8">
        <w:t>≥</w:t>
      </w:r>
      <w:r>
        <w:t xml:space="preserve"> 38°C, pseudo-grippal (FDR d’une infection à Listéria </w:t>
      </w:r>
      <w:proofErr w:type="spellStart"/>
      <w:r>
        <w:t>monocytogène</w:t>
      </w:r>
      <w:proofErr w:type="spellEnd"/>
      <w:r>
        <w:t>)</w:t>
      </w:r>
    </w:p>
    <w:p w:rsidR="00D677DD" w:rsidRDefault="00D677DD" w:rsidP="00D677DD">
      <w:pPr>
        <w:pStyle w:val="Paragraphedeliste"/>
        <w:numPr>
          <w:ilvl w:val="1"/>
          <w:numId w:val="1"/>
        </w:numPr>
      </w:pPr>
      <w:r>
        <w:t>Infection urinaire ou systémique récente</w:t>
      </w:r>
    </w:p>
    <w:p w:rsidR="00D677DD" w:rsidRDefault="00D677DD" w:rsidP="00D677DD">
      <w:pPr>
        <w:pStyle w:val="Paragraphedeliste"/>
        <w:numPr>
          <w:ilvl w:val="1"/>
          <w:numId w:val="1"/>
        </w:numPr>
      </w:pPr>
      <w:r>
        <w:t>Infection  cervico-vaginale récente</w:t>
      </w:r>
    </w:p>
    <w:p w:rsidR="00D677DD" w:rsidRDefault="00D677DD" w:rsidP="00D677DD">
      <w:pPr>
        <w:pStyle w:val="Paragraphedeliste"/>
        <w:numPr>
          <w:ilvl w:val="1"/>
          <w:numId w:val="1"/>
        </w:numPr>
      </w:pPr>
      <w:r>
        <w:t xml:space="preserve">Cerclage, amnioscopie répétées </w:t>
      </w:r>
    </w:p>
    <w:p w:rsidR="00D677DD" w:rsidRDefault="00D677DD" w:rsidP="00D677DD">
      <w:pPr>
        <w:pStyle w:val="Paragraphedeliste"/>
        <w:numPr>
          <w:ilvl w:val="1"/>
          <w:numId w:val="1"/>
        </w:numPr>
      </w:pPr>
      <w:r>
        <w:t xml:space="preserve">Rupture, ou fissuration des membranes </w:t>
      </w:r>
    </w:p>
    <w:p w:rsidR="009C7FAC" w:rsidRDefault="00CE7605" w:rsidP="007208C1">
      <w:pPr>
        <w:pStyle w:val="Paragraphedeliste"/>
        <w:numPr>
          <w:ilvl w:val="1"/>
          <w:numId w:val="1"/>
        </w:numPr>
      </w:pPr>
      <w:r w:rsidRPr="008A3617">
        <w:rPr>
          <w:b/>
          <w:bCs/>
        </w:rPr>
        <w:t>Streptocoque</w:t>
      </w:r>
      <w:r w:rsidR="009C7FAC" w:rsidRPr="008A3617">
        <w:rPr>
          <w:b/>
          <w:bCs/>
        </w:rPr>
        <w:t xml:space="preserve"> groupe B positif  durant la grossesse actuelle</w:t>
      </w:r>
      <w:r w:rsidR="0045333D">
        <w:t xml:space="preserve"> </w:t>
      </w:r>
      <w:r w:rsidR="0045333D" w:rsidRPr="00A9376A">
        <w:rPr>
          <w:rFonts w:ascii="Fairwater Script" w:hAnsi="Fairwater Script"/>
        </w:rPr>
        <w:t xml:space="preserve">(la grossesse </w:t>
      </w:r>
      <w:r w:rsidR="00017A2B" w:rsidRPr="00A9376A">
        <w:rPr>
          <w:rFonts w:ascii="Fairwater Script" w:hAnsi="Fairwater Script"/>
        </w:rPr>
        <w:t>q</w:t>
      </w:r>
      <w:r w:rsidR="0045333D" w:rsidRPr="00A9376A">
        <w:rPr>
          <w:rFonts w:ascii="Fairwater Script" w:hAnsi="Fairwater Script"/>
        </w:rPr>
        <w:t xml:space="preserve">ui a donné une </w:t>
      </w:r>
      <w:r w:rsidR="00C70187">
        <w:rPr>
          <w:rFonts w:ascii="Fairwater Script" w:hAnsi="Fairwater Script"/>
        </w:rPr>
        <w:t>infection néonatale bactérienne précoce</w:t>
      </w:r>
      <w:r w:rsidR="0045333D" w:rsidRPr="00A9376A">
        <w:rPr>
          <w:rFonts w:ascii="Fairwater Script" w:hAnsi="Fairwater Script"/>
        </w:rPr>
        <w:t xml:space="preserve"> au bébé</w:t>
      </w:r>
      <w:r w:rsidR="00017A2B" w:rsidRPr="00A9376A">
        <w:rPr>
          <mc:AlternateContent>
            <mc:Choice Requires="w16se">
              <w:rFonts w:ascii="Fairwater Script" w:hAnsi="Fairwater Scrip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 w:rsidR="00017A2B" w:rsidRPr="00A9376A">
        <w:rPr>
          <w:rFonts w:ascii="Fairwater Script" w:hAnsi="Fairwater Script"/>
        </w:rPr>
        <w:t>)</w:t>
      </w:r>
    </w:p>
    <w:p w:rsidR="009C7FAC" w:rsidRDefault="009C7FAC" w:rsidP="007208C1">
      <w:pPr>
        <w:pStyle w:val="Paragraphedeliste"/>
        <w:numPr>
          <w:ilvl w:val="1"/>
          <w:numId w:val="1"/>
        </w:numPr>
      </w:pPr>
      <w:r w:rsidRPr="008A3617">
        <w:rPr>
          <w:b/>
          <w:bCs/>
        </w:rPr>
        <w:t>Antécédent d’infection</w:t>
      </w:r>
      <w:r w:rsidR="00CE7605" w:rsidRPr="008A3617">
        <w:rPr>
          <w:b/>
          <w:bCs/>
        </w:rPr>
        <w:t xml:space="preserve"> néonatale</w:t>
      </w:r>
      <w:r w:rsidR="00CE7605">
        <w:t xml:space="preserve"> à SGB lors d’une</w:t>
      </w:r>
      <w:r w:rsidR="0045333D">
        <w:t xml:space="preserve"> </w:t>
      </w:r>
      <w:r w:rsidR="00CE7605">
        <w:t>précédente grossesse</w:t>
      </w:r>
    </w:p>
    <w:p w:rsidR="00CE7605" w:rsidRPr="00D677DD" w:rsidRDefault="00CE7605" w:rsidP="007208C1">
      <w:pPr>
        <w:pStyle w:val="Paragraphedeliste"/>
        <w:numPr>
          <w:ilvl w:val="1"/>
          <w:numId w:val="1"/>
        </w:numPr>
      </w:pPr>
      <w:r w:rsidRPr="008A3617">
        <w:rPr>
          <w:b/>
          <w:bCs/>
        </w:rPr>
        <w:t>Fièvre maternelle &gt; 38°C</w:t>
      </w:r>
      <w:r>
        <w:t xml:space="preserve"> en per </w:t>
      </w:r>
      <w:proofErr w:type="spellStart"/>
      <w:r>
        <w:t>partum</w:t>
      </w:r>
      <w:proofErr w:type="spellEnd"/>
      <w:r>
        <w:t xml:space="preserve"> ou dans les</w:t>
      </w:r>
      <w:r w:rsidR="0045333D">
        <w:t xml:space="preserve"> </w:t>
      </w:r>
      <w:r>
        <w:t xml:space="preserve">2H </w:t>
      </w:r>
      <w:r w:rsidR="00017A2B">
        <w:t>q</w:t>
      </w:r>
      <w:r>
        <w:t xml:space="preserve">ui suivent l’accouchement </w:t>
      </w:r>
    </w:p>
    <w:p w:rsidR="00EA19EB" w:rsidRPr="008A3617" w:rsidRDefault="00D96F87" w:rsidP="00017A2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8A3617">
        <w:rPr>
          <w:b/>
          <w:bCs/>
          <w:color w:val="7030A0" w:themeColor="accent1"/>
        </w:rPr>
        <w:t>Accouchement</w:t>
      </w:r>
      <w:r w:rsidR="00017A2B" w:rsidRPr="008A3617">
        <w:rPr>
          <w:b/>
          <w:bCs/>
          <w:color w:val="7030A0" w:themeColor="accent1"/>
        </w:rPr>
        <w:t> :</w:t>
      </w:r>
    </w:p>
    <w:p w:rsidR="00017A2B" w:rsidRDefault="00017A2B" w:rsidP="00017A2B">
      <w:pPr>
        <w:pStyle w:val="Paragraphedeliste"/>
        <w:numPr>
          <w:ilvl w:val="1"/>
          <w:numId w:val="1"/>
        </w:numPr>
      </w:pPr>
      <w:r>
        <w:t xml:space="preserve">Lieu, personne ayant assisté à l’accouchement </w:t>
      </w:r>
    </w:p>
    <w:p w:rsidR="00017A2B" w:rsidRDefault="00017A2B" w:rsidP="00017A2B">
      <w:pPr>
        <w:pStyle w:val="Paragraphedeliste"/>
        <w:numPr>
          <w:ilvl w:val="1"/>
          <w:numId w:val="1"/>
        </w:numPr>
      </w:pPr>
      <w:r>
        <w:t>Rupture prolongée de la poche des eaux (&gt; 12h)</w:t>
      </w:r>
    </w:p>
    <w:p w:rsidR="00017A2B" w:rsidRDefault="00017A2B" w:rsidP="00017A2B">
      <w:pPr>
        <w:pStyle w:val="Paragraphedeliste"/>
        <w:numPr>
          <w:ilvl w:val="1"/>
          <w:numId w:val="1"/>
        </w:numPr>
      </w:pPr>
      <w:r>
        <w:t>Asphyxie périnatale sans cause évidente (</w:t>
      </w:r>
      <w:r w:rsidR="001954B9">
        <w:t>liquide amniotique</w:t>
      </w:r>
      <w:r>
        <w:t xml:space="preserve"> teinté, purée de pois, fétide, bradycardies fœtales)</w:t>
      </w:r>
    </w:p>
    <w:p w:rsidR="00FC4F86" w:rsidRDefault="00FC4F86" w:rsidP="00017A2B">
      <w:pPr>
        <w:pStyle w:val="Paragraphedeliste"/>
        <w:numPr>
          <w:ilvl w:val="1"/>
          <w:numId w:val="1"/>
        </w:numPr>
      </w:pPr>
      <w:r>
        <w:t>Travail prolongé, inefficace</w:t>
      </w:r>
    </w:p>
    <w:p w:rsidR="00FC4F86" w:rsidRDefault="00FC4F86" w:rsidP="00017A2B">
      <w:pPr>
        <w:pStyle w:val="Paragraphedeliste"/>
        <w:numPr>
          <w:ilvl w:val="1"/>
          <w:numId w:val="1"/>
        </w:numPr>
      </w:pPr>
      <w:r>
        <w:t>Manœuvres obstétricales</w:t>
      </w:r>
    </w:p>
    <w:p w:rsidR="00FC4F86" w:rsidRPr="007208C1" w:rsidRDefault="00FC4F86" w:rsidP="00FC4F86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7208C1">
        <w:rPr>
          <w:b/>
          <w:bCs/>
          <w:color w:val="7030A0" w:themeColor="accent1"/>
        </w:rPr>
        <w:t>Naissances :</w:t>
      </w:r>
    </w:p>
    <w:p w:rsidR="00FC4F86" w:rsidRDefault="00FC4F86" w:rsidP="00FC4F86">
      <w:pPr>
        <w:pStyle w:val="Paragraphedeliste"/>
        <w:numPr>
          <w:ilvl w:val="1"/>
          <w:numId w:val="1"/>
        </w:numPr>
      </w:pPr>
      <w:r>
        <w:t xml:space="preserve">Prématurité imprévue, </w:t>
      </w:r>
      <w:r w:rsidR="001954B9">
        <w:t>inexpliquée</w:t>
      </w:r>
    </w:p>
    <w:p w:rsidR="00FC4F86" w:rsidRDefault="00FC4F86" w:rsidP="00FC4F86">
      <w:pPr>
        <w:pStyle w:val="Paragraphedeliste"/>
        <w:numPr>
          <w:ilvl w:val="1"/>
          <w:numId w:val="1"/>
        </w:numPr>
      </w:pPr>
      <w:r>
        <w:t>Etat de mort apparente</w:t>
      </w:r>
    </w:p>
    <w:p w:rsidR="00FC4F86" w:rsidRDefault="00FC4F86" w:rsidP="00FC4F86">
      <w:pPr>
        <w:pStyle w:val="Paragraphedeliste"/>
        <w:numPr>
          <w:ilvl w:val="1"/>
          <w:numId w:val="1"/>
        </w:numPr>
      </w:pPr>
      <w:r>
        <w:t>Détresse vitale respiratoire isolée</w:t>
      </w:r>
    </w:p>
    <w:p w:rsidR="001954B9" w:rsidRDefault="001954B9" w:rsidP="00FC4F86">
      <w:pPr>
        <w:pStyle w:val="Paragraphedeliste"/>
        <w:numPr>
          <w:ilvl w:val="1"/>
          <w:numId w:val="1"/>
        </w:numPr>
      </w:pPr>
      <w:r>
        <w:t>Aspect pathologique du placenta</w:t>
      </w:r>
      <w:r w:rsidR="00D96F87">
        <w:t xml:space="preserve"> </w:t>
      </w:r>
    </w:p>
    <w:p w:rsidR="00EA19EB" w:rsidRDefault="00687F1D">
      <w:r>
        <w:t>(À suivre)</w:t>
      </w:r>
    </w:p>
    <w:p w:rsidR="00EA19EB" w:rsidRDefault="00EA19EB"/>
    <w:p w:rsidR="003A6EC3" w:rsidRDefault="003A6EC3" w:rsidP="00913586">
      <w:pPr>
        <w:pStyle w:val="Titre2"/>
      </w:pPr>
      <w:r>
        <w:t>Examen clinique</w:t>
      </w:r>
      <w:r w:rsidR="00FE0994">
        <w:t> :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201B26">
        <w:rPr>
          <w:b/>
          <w:bCs/>
          <w:color w:val="7030A0" w:themeColor="accent1"/>
          <w:lang w:val="en-US"/>
        </w:rPr>
        <w:t xml:space="preserve">Signes généraux : </w:t>
      </w:r>
      <w:r>
        <w:rPr>
          <w:lang w:val="en-US"/>
        </w:rPr>
        <w:t xml:space="preserve">hypo ou hyperthermie, teint grisâtre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201B26">
        <w:rPr>
          <w:b/>
          <w:bCs/>
          <w:color w:val="7030A0" w:themeColor="accent1"/>
          <w:lang w:val="en-US"/>
        </w:rPr>
        <w:t>Troubles digestifs :</w:t>
      </w:r>
      <w:r w:rsidRPr="00201B26">
        <w:rPr>
          <w:color w:val="7030A0" w:themeColor="accent1"/>
          <w:lang w:val="en-US"/>
        </w:rPr>
        <w:t xml:space="preserve"> </w:t>
      </w:r>
      <w:r>
        <w:rPr>
          <w:lang w:val="en-US"/>
        </w:rPr>
        <w:t xml:space="preserve">refus de téter, vomissements, ballonnement abdominal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966624">
        <w:rPr>
          <w:b/>
          <w:bCs/>
          <w:color w:val="7030A0" w:themeColor="accent1"/>
          <w:lang w:val="en-US"/>
        </w:rPr>
        <w:t>Troubles respiratoires :</w:t>
      </w:r>
      <w:r w:rsidRPr="00966624">
        <w:rPr>
          <w:color w:val="7030A0" w:themeColor="accent1"/>
          <w:lang w:val="en-US"/>
        </w:rPr>
        <w:t xml:space="preserve"> </w:t>
      </w:r>
      <w:r>
        <w:rPr>
          <w:lang w:val="en-US"/>
        </w:rPr>
        <w:t xml:space="preserve">détresse respiratoire, apnée, cyanose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966624">
        <w:rPr>
          <w:b/>
          <w:bCs/>
          <w:color w:val="7030A0" w:themeColor="accent1"/>
          <w:lang w:val="en-US"/>
        </w:rPr>
        <w:t>Troubles hémodynamiques :</w:t>
      </w:r>
      <w:r w:rsidRPr="00966624">
        <w:rPr>
          <w:color w:val="7030A0" w:themeColor="accent1"/>
          <w:lang w:val="en-US"/>
        </w:rPr>
        <w:t xml:space="preserve"> </w:t>
      </w:r>
      <w:r>
        <w:rPr>
          <w:lang w:val="en-US"/>
        </w:rPr>
        <w:t>pâleur, troubles vasomoteurs, cyanose des extrémités, TRC &gt; 3 secondes, SpO2 &lt; 90%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966624">
        <w:rPr>
          <w:b/>
          <w:bCs/>
          <w:color w:val="7030A0" w:themeColor="accent1"/>
          <w:lang w:val="en-US"/>
        </w:rPr>
        <w:t>Signes cutanés :</w:t>
      </w:r>
      <w:r w:rsidRPr="00966624">
        <w:rPr>
          <w:color w:val="7030A0" w:themeColor="accent1"/>
          <w:lang w:val="en-US"/>
        </w:rPr>
        <w:t xml:space="preserve"> </w:t>
      </w:r>
      <w:r>
        <w:rPr>
          <w:lang w:val="en-US"/>
        </w:rPr>
        <w:t xml:space="preserve">éruptions, purpura, sclérème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966624">
        <w:rPr>
          <w:b/>
          <w:bCs/>
          <w:color w:val="7030A0" w:themeColor="accent1"/>
          <w:lang w:val="en-US"/>
        </w:rPr>
        <w:t>Neurologique :</w:t>
      </w:r>
      <w:r w:rsidRPr="00966624">
        <w:rPr>
          <w:color w:val="7030A0" w:themeColor="accent1"/>
          <w:lang w:val="en-US"/>
        </w:rPr>
        <w:t xml:space="preserve"> </w:t>
      </w:r>
      <w:r>
        <w:rPr>
          <w:lang w:val="en-US"/>
        </w:rPr>
        <w:t xml:space="preserve">léthargie, trouble de réactivité et/ou du tonus, mouvements anormaux, convulsions </w:t>
      </w:r>
    </w:p>
    <w:p w:rsidR="003A6EC3" w:rsidRDefault="003A6EC3" w:rsidP="003A6EC3">
      <w:pPr>
        <w:pStyle w:val="Paragraphedeliste"/>
        <w:numPr>
          <w:ilvl w:val="0"/>
          <w:numId w:val="4"/>
        </w:numPr>
        <w:rPr>
          <w:color w:val="800000"/>
        </w:rPr>
      </w:pPr>
      <w:r>
        <w:rPr>
          <w:color w:val="800000"/>
          <w:lang w:val="en-US"/>
        </w:rPr>
        <w:t xml:space="preserve">Souvent asymptomatique au moment de la naissance </w:t>
      </w:r>
    </w:p>
    <w:p w:rsidR="003A6EC3" w:rsidRDefault="003A6EC3" w:rsidP="00913586">
      <w:pPr>
        <w:pStyle w:val="Titre2"/>
      </w:pPr>
      <w:r>
        <w:t>Examen paraclinique</w:t>
      </w:r>
      <w:r w:rsidR="00FE0994">
        <w:t> :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966624">
        <w:rPr>
          <w:b/>
          <w:bCs/>
          <w:color w:val="7030A0" w:themeColor="accent1"/>
          <w:lang w:val="en-US"/>
        </w:rPr>
        <w:t>Biologie et radiologie :</w:t>
      </w:r>
      <w:r w:rsidRPr="00966624">
        <w:rPr>
          <w:color w:val="7030A0" w:themeColor="accent1"/>
          <w:lang w:val="en-US"/>
        </w:rPr>
        <w:t xml:space="preserve"> </w:t>
      </w:r>
      <w:r>
        <w:rPr>
          <w:lang w:val="en-US"/>
        </w:rPr>
        <w:t xml:space="preserve">arguments de présomption 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 w:rsidRPr="0021115F">
        <w:rPr>
          <w:b/>
          <w:bCs/>
          <w:lang w:val="en-US"/>
        </w:rPr>
        <w:lastRenderedPageBreak/>
        <w:t>NFS :</w:t>
      </w:r>
      <w:r>
        <w:rPr>
          <w:lang w:val="en-US"/>
        </w:rPr>
        <w:t xml:space="preserve"> neutropénie &lt; 1 500/mm³, hyperleucocytose &gt; 30 000/mm³, thrombopénie &lt; 150000/mm³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 w:rsidRPr="0021115F">
        <w:rPr>
          <w:b/>
          <w:bCs/>
          <w:lang w:val="en-US"/>
        </w:rPr>
        <w:t>Syndrome inflammatoire :</w:t>
      </w:r>
      <w:r>
        <w:rPr>
          <w:lang w:val="en-US"/>
        </w:rPr>
        <w:t xml:space="preserve"> CRP &gt; 24 mg/L (après H12)</w:t>
      </w:r>
    </w:p>
    <w:p w:rsidR="003A6EC3" w:rsidRPr="0021115F" w:rsidRDefault="003A6EC3" w:rsidP="003A6EC3">
      <w:pPr>
        <w:pStyle w:val="Paragraphedeliste"/>
        <w:numPr>
          <w:ilvl w:val="1"/>
          <w:numId w:val="4"/>
        </w:numPr>
        <w:rPr>
          <w:b/>
          <w:bCs/>
        </w:rPr>
      </w:pPr>
      <w:r w:rsidRPr="0021115F">
        <w:rPr>
          <w:b/>
          <w:bCs/>
          <w:lang w:val="en-US"/>
        </w:rPr>
        <w:t>Radiologie du thorax de face</w:t>
      </w:r>
      <w:r w:rsidR="0021115F">
        <w:rPr>
          <w:b/>
          <w:bCs/>
          <w:lang w:val="en-US"/>
        </w:rPr>
        <w:t xml:space="preserve"> :</w:t>
      </w:r>
    </w:p>
    <w:p w:rsidR="003A6EC3" w:rsidRDefault="003A6EC3" w:rsidP="003A6EC3">
      <w:pPr>
        <w:pStyle w:val="Paragraphedeliste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Opacité dense micro ou macronodulaire, bilatérales, 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 xml:space="preserve">Syndrome alvéolaire avec fin de granité 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Opacités péri bronchiques, augmentations de la trame pulmonaire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 w:rsidRPr="0021115F">
        <w:rPr>
          <w:b/>
          <w:bCs/>
          <w:color w:val="7030A0" w:themeColor="accent1"/>
          <w:lang w:val="en-US"/>
        </w:rPr>
        <w:t>Bactériologie :</w:t>
      </w:r>
      <w:r w:rsidRPr="0021115F">
        <w:rPr>
          <w:color w:val="7030A0" w:themeColor="accent1"/>
          <w:lang w:val="en-US"/>
        </w:rPr>
        <w:t xml:space="preserve"> </w:t>
      </w:r>
      <w:r>
        <w:rPr>
          <w:lang w:val="en-US"/>
        </w:rPr>
        <w:t xml:space="preserve">arguments de certitude </w:t>
      </w:r>
    </w:p>
    <w:p w:rsidR="003A6EC3" w:rsidRPr="00FE0994" w:rsidRDefault="003A6EC3" w:rsidP="003A6EC3">
      <w:pPr>
        <w:pStyle w:val="Paragraphedeliste"/>
        <w:numPr>
          <w:ilvl w:val="1"/>
          <w:numId w:val="4"/>
        </w:numPr>
        <w:rPr>
          <w:b/>
          <w:bCs/>
        </w:rPr>
      </w:pPr>
      <w:r w:rsidRPr="00FE0994">
        <w:rPr>
          <w:b/>
          <w:bCs/>
          <w:lang w:val="en-US"/>
        </w:rPr>
        <w:t xml:space="preserve">Prélèvements centraux </w:t>
      </w:r>
      <w:r w:rsidR="00FE0994" w:rsidRPr="00FE0994">
        <w:rPr>
          <w:b/>
          <w:bCs/>
          <w:lang w:val="en-US"/>
        </w:rPr>
        <w:t>: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Hémocultures +++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 xml:space="preserve">± ponction lombaire 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± urines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 w:rsidRPr="00FE0994">
        <w:rPr>
          <w:b/>
          <w:bCs/>
          <w:lang w:val="en-US"/>
        </w:rPr>
        <w:t>PCR ou antigènes solubles :</w:t>
      </w:r>
      <w:r>
        <w:rPr>
          <w:lang w:val="en-US"/>
        </w:rPr>
        <w:t xml:space="preserve"> Streptocoque B, Escherichia coli, Listeria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Dans le sang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 xml:space="preserve">Dans les  urines 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 xml:space="preserve">Dans le LCR </w:t>
      </w:r>
    </w:p>
    <w:p w:rsidR="003A6EC3" w:rsidRDefault="003A6EC3" w:rsidP="00913586">
      <w:pPr>
        <w:pStyle w:val="Titre1"/>
      </w:pPr>
      <w:r>
        <w:t>Diagnostic de gravité</w:t>
      </w:r>
      <w:r w:rsidR="00FE0994">
        <w:t> :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AEG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>Signes cliniques neurologiques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>Sepsis sévère dont CRP &gt; 70 mg/L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>CIVD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>Grande ou très grande prématurité</w:t>
      </w:r>
      <w:r>
        <w:rPr>
          <w:rStyle w:val="Appelnotedebasdep"/>
        </w:rPr>
        <w:footnoteReference w:id="1"/>
      </w:r>
    </w:p>
    <w:p w:rsidR="003A6EC3" w:rsidRDefault="003A6EC3" w:rsidP="00913586">
      <w:pPr>
        <w:pStyle w:val="Titre1"/>
      </w:pPr>
      <w:r>
        <w:t>Diagnostic différentiel</w:t>
      </w:r>
      <w:r w:rsidR="00FE0994">
        <w:t> :</w:t>
      </w:r>
    </w:p>
    <w:p w:rsidR="003A6EC3" w:rsidRPr="00FE0994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FE0994">
        <w:rPr>
          <w:b/>
          <w:bCs/>
          <w:lang w:val="en-US"/>
        </w:rPr>
        <w:t>Infections bactériennes secondaires acquises hospitalières</w:t>
      </w:r>
      <w:r w:rsidR="00FE0994" w:rsidRPr="00FE0994">
        <w:rPr>
          <w:b/>
          <w:bCs/>
          <w:lang w:val="en-US"/>
        </w:rPr>
        <w:t xml:space="preserve"> :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>Dues à des entérobactéries et aux staphylocoques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>Contamination exogène, manuportée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Liées à des perturbations de l'écosystème bactérien intestinal induites par antibiothérapie </w:t>
      </w:r>
    </w:p>
    <w:p w:rsidR="003A6EC3" w:rsidRDefault="003A6EC3" w:rsidP="00913586">
      <w:pPr>
        <w:pStyle w:val="Titre1"/>
      </w:pPr>
      <w:r>
        <w:t>Évolution</w:t>
      </w:r>
      <w:r w:rsidR="00FE0994">
        <w:t> :</w:t>
      </w:r>
    </w:p>
    <w:p w:rsidR="003A6EC3" w:rsidRPr="004A6F6D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4A6F6D">
        <w:rPr>
          <w:b/>
          <w:bCs/>
          <w:lang w:val="en-US"/>
        </w:rPr>
        <w:t xml:space="preserve">Évolution favorable </w:t>
      </w:r>
      <w:r w:rsidR="004A6F6D" w:rsidRPr="004A6F6D">
        <w:rPr>
          <w:b/>
          <w:bCs/>
          <w:lang w:val="en-US"/>
        </w:rPr>
        <w:t>: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Si traitement précoce et bien adapté </w:t>
      </w:r>
    </w:p>
    <w:p w:rsidR="003A6EC3" w:rsidRPr="004A6F6D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4A6F6D">
        <w:rPr>
          <w:b/>
          <w:bCs/>
          <w:lang w:val="en-US"/>
        </w:rPr>
        <w:t xml:space="preserve">Évolution défavorable </w:t>
      </w:r>
      <w:r w:rsidR="004A6F6D" w:rsidRPr="004A6F6D">
        <w:rPr>
          <w:b/>
          <w:bCs/>
          <w:lang w:val="en-US"/>
        </w:rPr>
        <w:t>: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 w:rsidRPr="004A6F6D">
        <w:rPr>
          <w:b/>
          <w:bCs/>
          <w:i/>
          <w:iCs/>
          <w:lang w:val="en-US"/>
        </w:rPr>
        <w:t>Complications :</w:t>
      </w:r>
      <w:r>
        <w:rPr>
          <w:lang w:val="en-US"/>
        </w:rPr>
        <w:t xml:space="preserve"> troubles sévères de l'hémostase </w:t>
      </w:r>
      <w:r w:rsidR="0051359A">
        <w:rPr>
          <w:lang w:val="en-US"/>
        </w:rPr>
        <w:t>→</w:t>
      </w:r>
      <w:r>
        <w:rPr>
          <w:lang w:val="en-US"/>
        </w:rPr>
        <w:t xml:space="preserve"> CIVD, </w:t>
      </w:r>
      <w:r w:rsidR="0051359A">
        <w:rPr>
          <w:lang w:val="en-US"/>
        </w:rPr>
        <w:t>→</w:t>
      </w:r>
      <w:r>
        <w:rPr>
          <w:lang w:val="en-US"/>
        </w:rPr>
        <w:t xml:space="preserve"> 40% de décès </w:t>
      </w:r>
    </w:p>
    <w:p w:rsidR="003A6EC3" w:rsidRDefault="003A6EC3" w:rsidP="00913586">
      <w:pPr>
        <w:pStyle w:val="Titre1"/>
      </w:pPr>
      <w:r>
        <w:t>Traitement</w:t>
      </w:r>
      <w:r w:rsidR="00165812">
        <w:t> :</w:t>
      </w:r>
    </w:p>
    <w:p w:rsidR="003A6EC3" w:rsidRDefault="003A6EC3" w:rsidP="00913586">
      <w:pPr>
        <w:pStyle w:val="Titre2"/>
      </w:pPr>
      <w:r>
        <w:t>Traitement curatif</w:t>
      </w:r>
      <w:r w:rsidR="00165812">
        <w:t> :</w:t>
      </w:r>
    </w:p>
    <w:p w:rsidR="003A6EC3" w:rsidRDefault="003A6EC3" w:rsidP="00913586">
      <w:pPr>
        <w:pStyle w:val="Titre3"/>
      </w:pPr>
      <w:r>
        <w:t>But</w:t>
      </w:r>
      <w:r w:rsidR="00165812">
        <w:t> :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Remonter  l'état général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lastRenderedPageBreak/>
        <w:t xml:space="preserve">Éradiquer l'infection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Éviter les séquelles éventuelles </w:t>
      </w:r>
    </w:p>
    <w:p w:rsidR="003A6EC3" w:rsidRDefault="003A6EC3" w:rsidP="00913586">
      <w:pPr>
        <w:pStyle w:val="Titre3"/>
      </w:pPr>
      <w:r>
        <w:t>Moyens thérapeutiques et indications</w:t>
      </w:r>
      <w:r w:rsidR="00165812">
        <w:t> :</w:t>
      </w:r>
    </w:p>
    <w:p w:rsidR="003A6EC3" w:rsidRPr="00165812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165812">
        <w:rPr>
          <w:b/>
          <w:bCs/>
          <w:lang w:val="en-US"/>
        </w:rPr>
        <w:t xml:space="preserve">Mesures générales </w:t>
      </w:r>
      <w:r w:rsidR="00165812">
        <w:rPr>
          <w:b/>
          <w:bCs/>
          <w:lang w:val="en-US"/>
        </w:rPr>
        <w:t>: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Hospitalisation 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Hygiène rigoureuse 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Maintien d'une température stable, de la glycémie, de l'hydratation 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>Monitorage  des fonctions vitales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>Maintien d'une hémostase correcte par oxygénation contrôlée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Apport calorique correct </w:t>
      </w:r>
    </w:p>
    <w:p w:rsidR="003A6EC3" w:rsidRPr="00165812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165812">
        <w:rPr>
          <w:b/>
          <w:bCs/>
          <w:lang w:val="en-US"/>
        </w:rPr>
        <w:t xml:space="preserve">Antibiotiques </w:t>
      </w:r>
      <w:r w:rsidR="00165812" w:rsidRPr="00165812">
        <w:rPr>
          <w:b/>
          <w:bCs/>
          <w:lang w:val="en-US"/>
        </w:rPr>
        <w:t>:</w:t>
      </w:r>
    </w:p>
    <w:p w:rsidR="003A6EC3" w:rsidRPr="00165812" w:rsidRDefault="003A6EC3" w:rsidP="003A6EC3">
      <w:pPr>
        <w:pStyle w:val="Paragraphedeliste"/>
        <w:numPr>
          <w:ilvl w:val="1"/>
          <w:numId w:val="4"/>
        </w:numPr>
        <w:rPr>
          <w:b/>
          <w:bCs/>
          <w:i/>
          <w:iCs/>
        </w:rPr>
      </w:pPr>
      <w:r w:rsidRPr="00165812">
        <w:rPr>
          <w:b/>
          <w:bCs/>
          <w:i/>
          <w:iCs/>
          <w:lang w:val="en-US"/>
        </w:rPr>
        <w:t xml:space="preserve">Pénicilline A </w:t>
      </w:r>
      <w:r w:rsidR="0051359A" w:rsidRPr="00165812">
        <w:rPr>
          <w:b/>
          <w:bCs/>
          <w:i/>
          <w:iCs/>
          <w:lang w:val="en-US"/>
        </w:rPr>
        <w:t>→</w:t>
      </w:r>
      <w:r w:rsidRPr="00165812">
        <w:rPr>
          <w:b/>
          <w:bCs/>
          <w:i/>
          <w:iCs/>
          <w:lang w:val="en-US"/>
        </w:rPr>
        <w:t xml:space="preserve"> streptocoque, Listeria 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Ampicilline : 100 - 200 mg/kg en IVDL (2 - 4 prises par jour)</w:t>
      </w:r>
    </w:p>
    <w:p w:rsidR="003A6EC3" w:rsidRPr="00165812" w:rsidRDefault="003A6EC3" w:rsidP="003A6EC3">
      <w:pPr>
        <w:pStyle w:val="Paragraphedeliste"/>
        <w:numPr>
          <w:ilvl w:val="1"/>
          <w:numId w:val="4"/>
        </w:numPr>
        <w:rPr>
          <w:b/>
          <w:bCs/>
          <w:i/>
          <w:iCs/>
        </w:rPr>
      </w:pPr>
      <w:r w:rsidRPr="00165812">
        <w:rPr>
          <w:b/>
          <w:bCs/>
          <w:i/>
          <w:iCs/>
          <w:lang w:val="en-US"/>
        </w:rPr>
        <w:t xml:space="preserve">C3G </w:t>
      </w:r>
      <w:r w:rsidR="0051359A" w:rsidRPr="00165812">
        <w:rPr>
          <w:b/>
          <w:bCs/>
          <w:i/>
          <w:iCs/>
          <w:lang w:val="en-US"/>
        </w:rPr>
        <w:t>→</w:t>
      </w:r>
      <w:r w:rsidRPr="00165812">
        <w:rPr>
          <w:b/>
          <w:bCs/>
          <w:i/>
          <w:iCs/>
          <w:lang w:val="en-US"/>
        </w:rPr>
        <w:t xml:space="preserve"> streptocoque, Escherichia coli 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Ceftriaxone : 50 - 100 mg/kg/j en IVD (1 prise par jour)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Céfotaxime : 100 - 200 mg/kg/j en IVD (2 - 3 prises par jour)</w:t>
      </w:r>
    </w:p>
    <w:p w:rsidR="003A6EC3" w:rsidRPr="00165812" w:rsidRDefault="003A6EC3" w:rsidP="003A6EC3">
      <w:pPr>
        <w:pStyle w:val="Paragraphedeliste"/>
        <w:numPr>
          <w:ilvl w:val="1"/>
          <w:numId w:val="4"/>
        </w:numPr>
        <w:rPr>
          <w:b/>
          <w:bCs/>
          <w:i/>
          <w:iCs/>
        </w:rPr>
      </w:pPr>
      <w:r w:rsidRPr="00165812">
        <w:rPr>
          <w:b/>
          <w:bCs/>
          <w:i/>
          <w:iCs/>
          <w:lang w:val="en-US"/>
        </w:rPr>
        <w:t xml:space="preserve">Aminoside (5 jours au max) </w:t>
      </w:r>
      <w:r w:rsidR="0051359A" w:rsidRPr="00165812">
        <w:rPr>
          <w:b/>
          <w:bCs/>
          <w:i/>
          <w:iCs/>
          <w:lang w:val="en-US"/>
        </w:rPr>
        <w:t>→</w:t>
      </w:r>
      <w:r w:rsidRPr="00165812">
        <w:rPr>
          <w:b/>
          <w:bCs/>
          <w:i/>
          <w:iCs/>
          <w:lang w:val="en-US"/>
        </w:rPr>
        <w:t xml:space="preserve"> synergie aux autres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Gentamicine : 3 - 5 mg/kg en IVL sur 20 minutes ou IM (1 prise par jour)</w:t>
      </w:r>
    </w:p>
    <w:p w:rsidR="003A6EC3" w:rsidRDefault="003A6EC3" w:rsidP="003A6EC3">
      <w:pPr>
        <w:pStyle w:val="Paragraphedeliste"/>
        <w:numPr>
          <w:ilvl w:val="2"/>
          <w:numId w:val="4"/>
        </w:numPr>
      </w:pPr>
      <w:r>
        <w:rPr>
          <w:lang w:val="en-US"/>
        </w:rPr>
        <w:t>Nétilmicine : 6 - 7,5 mg/kg/j en IVL sur 20 minutes ou IM (1 prise par jour)</w:t>
      </w:r>
    </w:p>
    <w:p w:rsidR="003A6EC3" w:rsidRPr="00165812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165812">
        <w:rPr>
          <w:b/>
          <w:bCs/>
          <w:lang w:val="en-US"/>
        </w:rPr>
        <w:t xml:space="preserve">Durée de traitement </w:t>
      </w:r>
      <w:r w:rsidR="00165812" w:rsidRPr="00165812">
        <w:rPr>
          <w:b/>
          <w:bCs/>
          <w:lang w:val="en-US"/>
        </w:rPr>
        <w:t>: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>Infection précoce sans signe  de gravité : 7 jours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>Septicémie, pneumonie , infection urinaire : 14 jours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Méningite : 21 jours </w:t>
      </w:r>
    </w:p>
    <w:p w:rsidR="003A6EC3" w:rsidRDefault="003A6EC3" w:rsidP="00913586">
      <w:pPr>
        <w:pStyle w:val="Titre3"/>
      </w:pPr>
      <w:r>
        <w:t xml:space="preserve">Surveillance </w:t>
      </w:r>
    </w:p>
    <w:p w:rsidR="003A6EC3" w:rsidRPr="00165812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165812">
        <w:rPr>
          <w:b/>
          <w:bCs/>
          <w:lang w:val="en-US"/>
        </w:rPr>
        <w:t xml:space="preserve">Clinique </w:t>
      </w:r>
      <w:r w:rsidR="00165812" w:rsidRPr="00165812">
        <w:rPr>
          <w:b/>
          <w:bCs/>
          <w:lang w:val="en-US"/>
        </w:rPr>
        <w:t>: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Température, TA, FR, FC, SaO2 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Cardiorespiratoire, neurologique 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État hydroélectrolytiques </w:t>
      </w:r>
    </w:p>
    <w:p w:rsidR="003A6EC3" w:rsidRPr="00165812" w:rsidRDefault="003A6EC3" w:rsidP="003A6EC3">
      <w:pPr>
        <w:pStyle w:val="Paragraphedeliste"/>
        <w:numPr>
          <w:ilvl w:val="0"/>
          <w:numId w:val="4"/>
        </w:numPr>
        <w:rPr>
          <w:b/>
          <w:bCs/>
        </w:rPr>
      </w:pPr>
      <w:r w:rsidRPr="00165812">
        <w:rPr>
          <w:b/>
          <w:bCs/>
          <w:lang w:val="en-US"/>
        </w:rPr>
        <w:t xml:space="preserve">Paraclinique </w:t>
      </w:r>
      <w:r w:rsidR="00165812">
        <w:rPr>
          <w:b/>
          <w:bCs/>
          <w:lang w:val="en-US"/>
        </w:rPr>
        <w:t>:</w:t>
      </w:r>
    </w:p>
    <w:p w:rsidR="003A6EC3" w:rsidRDefault="003A6EC3" w:rsidP="003A6EC3">
      <w:pPr>
        <w:pStyle w:val="Paragraphedeliste"/>
        <w:numPr>
          <w:ilvl w:val="1"/>
          <w:numId w:val="4"/>
        </w:numPr>
      </w:pPr>
      <w:r>
        <w:rPr>
          <w:lang w:val="en-US"/>
        </w:rPr>
        <w:t xml:space="preserve">CRP, ECBU </w:t>
      </w:r>
    </w:p>
    <w:p w:rsidR="003A6EC3" w:rsidRDefault="003A6EC3" w:rsidP="00913586">
      <w:pPr>
        <w:pStyle w:val="Titre2"/>
      </w:pPr>
      <w:r>
        <w:t>Traitement préventif</w:t>
      </w:r>
      <w:r w:rsidR="00165812">
        <w:t> :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Suivi rigoureux de la grossesse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Dépistage et traitement des épisodes infectieux chez la femme enceinte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Respect des règles d'hygiène et d'asepsie lors de l'accouchement </w:t>
      </w:r>
    </w:p>
    <w:p w:rsidR="003A6EC3" w:rsidRDefault="003A6EC3" w:rsidP="00913586">
      <w:pPr>
        <w:pStyle w:val="Titre1"/>
      </w:pPr>
      <w:r>
        <w:t>Conclusion</w:t>
      </w:r>
      <w:r w:rsidR="00165812">
        <w:t> :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>INBP : fréquente, grave, urgente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Probabilité de l'infection repose sur les arguments anamnestiques, clinique et biologique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Traitement curatif : antibiothérapie précoce dès la suspicion </w:t>
      </w:r>
    </w:p>
    <w:p w:rsidR="003A6EC3" w:rsidRDefault="003A6EC3" w:rsidP="003A6EC3">
      <w:pPr>
        <w:pStyle w:val="Paragraphedeliste"/>
        <w:numPr>
          <w:ilvl w:val="0"/>
          <w:numId w:val="4"/>
        </w:numPr>
      </w:pPr>
      <w:r>
        <w:rPr>
          <w:lang w:val="en-US"/>
        </w:rPr>
        <w:t xml:space="preserve">Prévention systématique </w:t>
      </w:r>
    </w:p>
    <w:p w:rsidR="005E51F6" w:rsidRDefault="005E51F6"/>
    <w:sectPr w:rsidR="005E51F6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387B" w:rsidRDefault="0001387B" w:rsidP="00E76DB2">
      <w:pPr>
        <w:spacing w:before="0" w:after="0" w:line="240" w:lineRule="auto"/>
      </w:pPr>
      <w:r>
        <w:separator/>
      </w:r>
    </w:p>
  </w:endnote>
  <w:endnote w:type="continuationSeparator" w:id="0">
    <w:p w:rsidR="0001387B" w:rsidRDefault="0001387B" w:rsidP="00E76D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French Script MT">
    <w:altName w:val="French Script MT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Fairwater Script">
    <w:altName w:val="Fairwater Script"/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766652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34394359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387B" w:rsidRDefault="0001387B" w:rsidP="00E76DB2">
      <w:pPr>
        <w:spacing w:before="0" w:after="0" w:line="240" w:lineRule="auto"/>
      </w:pPr>
      <w:r>
        <w:separator/>
      </w:r>
    </w:p>
  </w:footnote>
  <w:footnote w:type="continuationSeparator" w:id="0">
    <w:p w:rsidR="0001387B" w:rsidRDefault="0001387B" w:rsidP="00E76DB2">
      <w:pPr>
        <w:spacing w:before="0" w:after="0" w:line="240" w:lineRule="auto"/>
      </w:pPr>
      <w:r>
        <w:continuationSeparator/>
      </w:r>
    </w:p>
  </w:footnote>
  <w:footnote w:id="1">
    <w:p w:rsidR="003A6EC3" w:rsidRDefault="003A6EC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Prématurité modérée ou légère 34 - 36 SA, grande prématurité 28 - 32 SA, très grande prématurité &lt; 28 SA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DB2" w:rsidRDefault="007A0BF6">
    <w:pPr>
      <w:pStyle w:val="En-tte"/>
    </w:pPr>
    <w:r>
      <w:t>11</w:t>
    </w:r>
    <w:r w:rsidR="00BD6B72">
      <w:t>-12</w:t>
    </w:r>
    <w:r w:rsidR="00E76DB2">
      <w:t xml:space="preserve"> Mars 2025</w:t>
    </w:r>
    <w:r w:rsidR="00E76DB2">
      <w:tab/>
    </w:r>
    <w:r w:rsidR="00E76DB2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265D0"/>
    <w:multiLevelType w:val="hybridMultilevel"/>
    <w:tmpl w:val="EFDC815A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C4E0F"/>
    <w:multiLevelType w:val="hybridMultilevel"/>
    <w:tmpl w:val="EFDC815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="SimSun" w:hAnsi="Cambria" w:cs="SimSu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E32F5"/>
    <w:multiLevelType w:val="hybridMultilevel"/>
    <w:tmpl w:val="B190598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E375B"/>
    <w:multiLevelType w:val="hybridMultilevel"/>
    <w:tmpl w:val="974CDF36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533937">
    <w:abstractNumId w:val="0"/>
  </w:num>
  <w:num w:numId="2" w16cid:durableId="1361786081">
    <w:abstractNumId w:val="3"/>
  </w:num>
  <w:num w:numId="3" w16cid:durableId="342782702">
    <w:abstractNumId w:val="2"/>
  </w:num>
  <w:num w:numId="4" w16cid:durableId="616105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B2"/>
    <w:rsid w:val="0001387B"/>
    <w:rsid w:val="00017A2B"/>
    <w:rsid w:val="0003425A"/>
    <w:rsid w:val="00125B77"/>
    <w:rsid w:val="00127E81"/>
    <w:rsid w:val="00165812"/>
    <w:rsid w:val="001954B9"/>
    <w:rsid w:val="001A2631"/>
    <w:rsid w:val="00201B26"/>
    <w:rsid w:val="0021115F"/>
    <w:rsid w:val="00220AC8"/>
    <w:rsid w:val="002227D3"/>
    <w:rsid w:val="002A39D5"/>
    <w:rsid w:val="00330555"/>
    <w:rsid w:val="003A6EC3"/>
    <w:rsid w:val="003B2F05"/>
    <w:rsid w:val="0045333D"/>
    <w:rsid w:val="004870F2"/>
    <w:rsid w:val="004908A4"/>
    <w:rsid w:val="004A6F6D"/>
    <w:rsid w:val="0051359A"/>
    <w:rsid w:val="0052277F"/>
    <w:rsid w:val="005E51F6"/>
    <w:rsid w:val="005F5B1B"/>
    <w:rsid w:val="00620B83"/>
    <w:rsid w:val="00687F1D"/>
    <w:rsid w:val="006C14B0"/>
    <w:rsid w:val="00710F61"/>
    <w:rsid w:val="007208C1"/>
    <w:rsid w:val="007A0BF6"/>
    <w:rsid w:val="00845822"/>
    <w:rsid w:val="0089071B"/>
    <w:rsid w:val="008A3617"/>
    <w:rsid w:val="008A595D"/>
    <w:rsid w:val="008C0E52"/>
    <w:rsid w:val="008D0A68"/>
    <w:rsid w:val="00911179"/>
    <w:rsid w:val="009332A4"/>
    <w:rsid w:val="00966624"/>
    <w:rsid w:val="00977A4D"/>
    <w:rsid w:val="009A733E"/>
    <w:rsid w:val="009B0ECC"/>
    <w:rsid w:val="009C7FAC"/>
    <w:rsid w:val="009E48A4"/>
    <w:rsid w:val="009F0590"/>
    <w:rsid w:val="00A15F22"/>
    <w:rsid w:val="00A4323D"/>
    <w:rsid w:val="00A9376A"/>
    <w:rsid w:val="00AF4D9A"/>
    <w:rsid w:val="00B7070B"/>
    <w:rsid w:val="00BD6B72"/>
    <w:rsid w:val="00BF2F0B"/>
    <w:rsid w:val="00C70187"/>
    <w:rsid w:val="00C90EBE"/>
    <w:rsid w:val="00CE7605"/>
    <w:rsid w:val="00D543BE"/>
    <w:rsid w:val="00D677DD"/>
    <w:rsid w:val="00D96F87"/>
    <w:rsid w:val="00DC739D"/>
    <w:rsid w:val="00DE2DE6"/>
    <w:rsid w:val="00E67A97"/>
    <w:rsid w:val="00E76DB2"/>
    <w:rsid w:val="00EA19EB"/>
    <w:rsid w:val="00EB5CDC"/>
    <w:rsid w:val="00F4511C"/>
    <w:rsid w:val="00FC4F86"/>
    <w:rsid w:val="00FE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49A2F"/>
  <w15:chartTrackingRefBased/>
  <w15:docId w15:val="{94D4109E-996B-3146-9258-85FB64D7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6DB2"/>
  </w:style>
  <w:style w:type="paragraph" w:styleId="Pieddepage">
    <w:name w:val="footer"/>
    <w:basedOn w:val="Normal"/>
    <w:link w:val="Pieddepag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6DB2"/>
  </w:style>
  <w:style w:type="character" w:styleId="Numrodepage">
    <w:name w:val="page number"/>
    <w:basedOn w:val="Policepardfaut"/>
    <w:uiPriority w:val="99"/>
    <w:semiHidden/>
    <w:unhideWhenUsed/>
    <w:rsid w:val="00E76DB2"/>
  </w:style>
  <w:style w:type="paragraph" w:styleId="Paragraphedeliste">
    <w:name w:val="List Paragraph"/>
    <w:basedOn w:val="Normal"/>
    <w:uiPriority w:val="34"/>
    <w:qFormat/>
    <w:rsid w:val="007A0BF6"/>
    <w:pPr>
      <w:ind w:left="720"/>
      <w:contextualSpacing/>
    </w:pPr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sid w:val="003A6EC3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rsid w:val="003A6EC3"/>
    <w:pPr>
      <w:snapToGrid w:val="0"/>
    </w:pPr>
    <w:rPr>
      <w:vertAlign w:val="superscript"/>
    </w:rPr>
  </w:style>
  <w:style w:type="character" w:customStyle="1" w:styleId="NotedebasdepageCar1">
    <w:name w:val="Note de bas de page Car1"/>
    <w:basedOn w:val="Policepardfaut"/>
    <w:uiPriority w:val="99"/>
    <w:semiHidden/>
    <w:rsid w:val="003A6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69</TotalTime>
  <Pages>4</Pages>
  <Words>883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53</cp:revision>
  <dcterms:created xsi:type="dcterms:W3CDTF">2025-03-11T07:11:00Z</dcterms:created>
  <dcterms:modified xsi:type="dcterms:W3CDTF">2025-03-17T16:37:00Z</dcterms:modified>
</cp:coreProperties>
</file>