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5DA010" w14:textId="77777777" w:rsidR="006C571B" w:rsidRDefault="006C571B" w:rsidP="006C571B">
      <w:pPr>
        <w:pStyle w:val="Titre"/>
      </w:pPr>
      <w:bookmarkStart w:id="0" w:name="_Toc100607155"/>
      <w:bookmarkStart w:id="1" w:name="_Toc100286846"/>
      <w:r>
        <w:t>EFFETS INDESIRABLES DES MEDICAMENTS - IATROGENIE</w:t>
      </w:r>
      <w:bookmarkEnd w:id="0"/>
      <w:bookmarkEnd w:id="1"/>
    </w:p>
    <w:p w14:paraId="0DD276BC" w14:textId="77777777" w:rsidR="006C571B" w:rsidRDefault="006C571B" w:rsidP="006C571B">
      <w:pPr>
        <w:pStyle w:val="Titre2"/>
        <w:rPr>
          <w:b/>
        </w:rPr>
      </w:pPr>
      <w:bookmarkStart w:id="2" w:name="_Toc100607156"/>
      <w:bookmarkStart w:id="3" w:name="_Toc100286847"/>
      <w:r>
        <w:rPr>
          <w:b/>
        </w:rPr>
        <w:t>INTRODUCTION</w:t>
      </w:r>
      <w:bookmarkEnd w:id="2"/>
      <w:bookmarkEnd w:id="3"/>
    </w:p>
    <w:p w14:paraId="5E21B382" w14:textId="77777777" w:rsidR="006C571B" w:rsidRDefault="006C571B" w:rsidP="006C571B">
      <w:pPr>
        <w:numPr>
          <w:ilvl w:val="0"/>
          <w:numId w:val="2"/>
        </w:numPr>
        <w:ind w:left="1440"/>
      </w:pPr>
      <w:r>
        <w:t>Médicaments :</w:t>
      </w:r>
    </w:p>
    <w:p w14:paraId="4DF05852" w14:textId="77777777" w:rsidR="006C571B" w:rsidRDefault="006C571B" w:rsidP="006C571B">
      <w:pPr>
        <w:numPr>
          <w:ilvl w:val="1"/>
          <w:numId w:val="2"/>
        </w:numPr>
        <w:ind w:left="2160"/>
      </w:pPr>
      <w:r>
        <w:t>Arme principal à la disposition des médecins pour</w:t>
      </w:r>
    </w:p>
    <w:p w14:paraId="18791051" w14:textId="77777777" w:rsidR="006C571B" w:rsidRDefault="006C571B" w:rsidP="006C571B">
      <w:pPr>
        <w:numPr>
          <w:ilvl w:val="2"/>
          <w:numId w:val="2"/>
        </w:numPr>
        <w:ind w:left="2880"/>
      </w:pPr>
      <w:r>
        <w:t>Guérir ou soulager le malade</w:t>
      </w:r>
    </w:p>
    <w:p w14:paraId="7773B4AF" w14:textId="77777777" w:rsidR="006C571B" w:rsidRDefault="006C571B" w:rsidP="006C571B">
      <w:pPr>
        <w:numPr>
          <w:ilvl w:val="2"/>
          <w:numId w:val="2"/>
        </w:numPr>
        <w:ind w:left="2880"/>
      </w:pPr>
      <w:r>
        <w:t>Prévenir les maladies</w:t>
      </w:r>
    </w:p>
    <w:p w14:paraId="2CE7A5CC" w14:textId="13BED0E1" w:rsidR="006C571B" w:rsidRDefault="006C571B" w:rsidP="006C571B">
      <w:pPr>
        <w:numPr>
          <w:ilvl w:val="1"/>
          <w:numId w:val="2"/>
        </w:numPr>
        <w:ind w:left="2160"/>
      </w:pPr>
      <w:r>
        <w:t xml:space="preserve">Rôle majeur dans l’amélioration de la qualité et </w:t>
      </w:r>
      <w:r w:rsidR="00B91469">
        <w:t>l’espérance</w:t>
      </w:r>
      <w:r>
        <w:t xml:space="preserve"> de vie</w:t>
      </w:r>
    </w:p>
    <w:p w14:paraId="4DD03F47" w14:textId="77777777" w:rsidR="006C571B" w:rsidRDefault="006C571B" w:rsidP="006C571B">
      <w:pPr>
        <w:numPr>
          <w:ilvl w:val="0"/>
          <w:numId w:val="2"/>
        </w:numPr>
        <w:ind w:left="1440"/>
      </w:pPr>
      <w:r>
        <w:t>Administration du médicament à l’organisme suivie d’effets :</w:t>
      </w:r>
    </w:p>
    <w:p w14:paraId="49185B29" w14:textId="77777777" w:rsidR="006C571B" w:rsidRDefault="006C571B" w:rsidP="006C571B">
      <w:pPr>
        <w:numPr>
          <w:ilvl w:val="1"/>
          <w:numId w:val="2"/>
        </w:numPr>
        <w:ind w:left="2160"/>
      </w:pPr>
      <w:r>
        <w:t>Effets souhaités/bénéfiques/thérapeutiques/ désirables</w:t>
      </w:r>
    </w:p>
    <w:p w14:paraId="466E21F7" w14:textId="77777777" w:rsidR="006C571B" w:rsidRDefault="006C571B" w:rsidP="006C571B">
      <w:pPr>
        <w:numPr>
          <w:ilvl w:val="1"/>
          <w:numId w:val="2"/>
        </w:numPr>
        <w:ind w:left="2160"/>
      </w:pPr>
      <w:r>
        <w:t xml:space="preserve">Effets non souhaités/nocifs ou “indésirables” </w:t>
      </w:r>
    </w:p>
    <w:p w14:paraId="0A19D40E" w14:textId="77777777" w:rsidR="006C571B" w:rsidRDefault="006C571B" w:rsidP="006C571B">
      <w:pPr>
        <w:numPr>
          <w:ilvl w:val="0"/>
          <w:numId w:val="2"/>
        </w:numPr>
        <w:ind w:left="1440"/>
      </w:pPr>
      <w:r>
        <w:t>Effets indésirables, notion probablement apparue de l’utilisation des premières thérapeutiques</w:t>
      </w:r>
    </w:p>
    <w:p w14:paraId="1BE8CFF7" w14:textId="77777777" w:rsidR="006C571B" w:rsidRDefault="006C571B" w:rsidP="006C571B">
      <w:pPr>
        <w:numPr>
          <w:ilvl w:val="0"/>
          <w:numId w:val="2"/>
        </w:numPr>
        <w:ind w:left="1440"/>
      </w:pPr>
      <w:r>
        <w:t>Hippocrate la faisant déjà figurer dans l’une de ses préoccupations “primum non nocere” “en premier ne pas nuire”</w:t>
      </w:r>
    </w:p>
    <w:p w14:paraId="4D7EF705" w14:textId="6E9445E4" w:rsidR="006C571B" w:rsidRDefault="006C571B" w:rsidP="006C571B">
      <w:pPr>
        <w:numPr>
          <w:ilvl w:val="0"/>
          <w:numId w:val="2"/>
        </w:numPr>
        <w:ind w:left="1440"/>
      </w:pPr>
      <w:r>
        <w:t xml:space="preserve">NB : idéal ou objectif étant “le risque 0”, mais </w:t>
      </w:r>
      <w:r w:rsidR="00B91469">
        <w:t>demeurant</w:t>
      </w:r>
      <w:r>
        <w:t xml:space="preserve"> sur le plan théorique</w:t>
      </w:r>
    </w:p>
    <w:p w14:paraId="1AD74ED0" w14:textId="77777777" w:rsidR="006C571B" w:rsidRDefault="006C571B" w:rsidP="006C571B">
      <w:pPr>
        <w:numPr>
          <w:ilvl w:val="0"/>
          <w:numId w:val="2"/>
        </w:numPr>
        <w:ind w:left="1440"/>
      </w:pPr>
      <w:r>
        <w:t>Effets indésirables ou nocifs faisant partie des maladies iatrogènes</w:t>
      </w:r>
    </w:p>
    <w:p w14:paraId="50F74CCA" w14:textId="77777777" w:rsidR="006C571B" w:rsidRDefault="006C571B" w:rsidP="006C571B">
      <w:pPr>
        <w:numPr>
          <w:ilvl w:val="0"/>
          <w:numId w:val="2"/>
        </w:numPr>
        <w:ind w:left="1440"/>
      </w:pPr>
      <w:r>
        <w:t xml:space="preserve">Fréquence : </w:t>
      </w:r>
    </w:p>
    <w:p w14:paraId="3A49C94F" w14:textId="77777777" w:rsidR="006C571B" w:rsidRDefault="006C571B" w:rsidP="006C571B">
      <w:pPr>
        <w:numPr>
          <w:ilvl w:val="1"/>
          <w:numId w:val="2"/>
        </w:numPr>
        <w:ind w:left="2160"/>
      </w:pPr>
      <w:r>
        <w:t>Plus de 5-10% des malades traités (sous-estimée)</w:t>
      </w:r>
    </w:p>
    <w:p w14:paraId="3BBCB311" w14:textId="77777777" w:rsidR="006C571B" w:rsidRDefault="006C571B" w:rsidP="006C571B">
      <w:pPr>
        <w:numPr>
          <w:ilvl w:val="1"/>
          <w:numId w:val="2"/>
        </w:numPr>
        <w:ind w:left="2160"/>
      </w:pPr>
      <w:r>
        <w:t>Plus de 5% des motifs d’admission à l’hôpital (graves)</w:t>
      </w:r>
      <w:r>
        <w:br/>
      </w:r>
    </w:p>
    <w:p w14:paraId="512E6512" w14:textId="77777777" w:rsidR="006C571B" w:rsidRDefault="006C571B" w:rsidP="006C571B">
      <w:pPr>
        <w:numPr>
          <w:ilvl w:val="0"/>
          <w:numId w:val="2"/>
        </w:numPr>
        <w:ind w:left="1440"/>
      </w:pPr>
      <w:r>
        <w:t>Malades présentant des affections adverses nécessitant</w:t>
      </w:r>
    </w:p>
    <w:p w14:paraId="7BE851D5" w14:textId="77777777" w:rsidR="006C571B" w:rsidRDefault="006C571B" w:rsidP="006C571B">
      <w:pPr>
        <w:numPr>
          <w:ilvl w:val="1"/>
          <w:numId w:val="2"/>
        </w:numPr>
        <w:ind w:left="2160"/>
      </w:pPr>
      <w:r>
        <w:t>Traitement mineur et peu coûteux (souvent)</w:t>
      </w:r>
    </w:p>
    <w:p w14:paraId="1A98409B" w14:textId="77777777" w:rsidR="006C571B" w:rsidRDefault="006C571B" w:rsidP="006C571B">
      <w:pPr>
        <w:numPr>
          <w:ilvl w:val="1"/>
          <w:numId w:val="2"/>
        </w:numPr>
        <w:ind w:left="2160"/>
      </w:pPr>
      <w:r>
        <w:t>Soins onéreux (parfois)</w:t>
      </w:r>
    </w:p>
    <w:p w14:paraId="5DF34742" w14:textId="77777777" w:rsidR="006C571B" w:rsidRDefault="006C571B" w:rsidP="006C571B">
      <w:pPr>
        <w:numPr>
          <w:ilvl w:val="1"/>
          <w:numId w:val="2"/>
        </w:numPr>
        <w:ind w:left="2160"/>
      </w:pPr>
      <w:r>
        <w:t>Prise en charge à vie (des fois)</w:t>
      </w:r>
    </w:p>
    <w:p w14:paraId="59019DB8" w14:textId="77777777" w:rsidR="006C571B" w:rsidRDefault="006C571B" w:rsidP="006C571B">
      <w:pPr>
        <w:ind w:left="0" w:firstLine="0"/>
      </w:pPr>
    </w:p>
    <w:p w14:paraId="2E0C8784" w14:textId="77777777" w:rsidR="006C571B" w:rsidRDefault="006C571B" w:rsidP="006C571B">
      <w:pPr>
        <w:ind w:left="0" w:firstLine="0"/>
      </w:pPr>
      <w:r>
        <w:lastRenderedPageBreak/>
        <w:t>Intérêts :</w:t>
      </w:r>
    </w:p>
    <w:p w14:paraId="31B7AD78" w14:textId="77777777" w:rsidR="006C571B" w:rsidRDefault="006C571B" w:rsidP="006C571B">
      <w:pPr>
        <w:numPr>
          <w:ilvl w:val="0"/>
          <w:numId w:val="2"/>
        </w:numPr>
        <w:ind w:left="1440"/>
      </w:pPr>
      <w:r>
        <w:t>Information des malades pour une bonne observance thérapeutique</w:t>
      </w:r>
    </w:p>
    <w:p w14:paraId="6E869840" w14:textId="77777777" w:rsidR="006C571B" w:rsidRDefault="006C571B" w:rsidP="006C571B">
      <w:pPr>
        <w:numPr>
          <w:ilvl w:val="0"/>
          <w:numId w:val="2"/>
        </w:numPr>
        <w:ind w:left="1440"/>
      </w:pPr>
      <w:r>
        <w:t>Prise de mesure pour réduire l’apparition des effets indésirables</w:t>
      </w:r>
    </w:p>
    <w:p w14:paraId="3C8BD047" w14:textId="77777777" w:rsidR="006C571B" w:rsidRDefault="006C571B" w:rsidP="006C571B">
      <w:pPr>
        <w:numPr>
          <w:ilvl w:val="0"/>
          <w:numId w:val="2"/>
        </w:numPr>
        <w:ind w:left="1440"/>
      </w:pPr>
      <w:r>
        <w:t>Prise en charge des malades présentant des effets indésirables</w:t>
      </w:r>
    </w:p>
    <w:p w14:paraId="5AC2058A" w14:textId="77777777" w:rsidR="006C571B" w:rsidRDefault="006C571B" w:rsidP="006C571B">
      <w:pPr>
        <w:ind w:left="0" w:firstLine="0"/>
      </w:pPr>
    </w:p>
    <w:p w14:paraId="605B5F7D" w14:textId="77777777" w:rsidR="006C571B" w:rsidRDefault="006C571B" w:rsidP="006C571B">
      <w:pPr>
        <w:pStyle w:val="Titre3"/>
        <w:rPr>
          <w:b/>
        </w:rPr>
      </w:pPr>
      <w:bookmarkStart w:id="4" w:name="_Toc100607157"/>
      <w:r>
        <w:rPr>
          <w:b/>
        </w:rPr>
        <w:t>Objectifs :</w:t>
      </w:r>
      <w:bookmarkEnd w:id="4"/>
    </w:p>
    <w:p w14:paraId="2C6B2EE1" w14:textId="77777777" w:rsidR="006C571B" w:rsidRDefault="006C571B" w:rsidP="006C571B">
      <w:pPr>
        <w:numPr>
          <w:ilvl w:val="0"/>
          <w:numId w:val="2"/>
        </w:numPr>
        <w:ind w:left="1440"/>
      </w:pPr>
      <w:r>
        <w:t>Définir les “effets indésirables” des médicaments</w:t>
      </w:r>
    </w:p>
    <w:p w14:paraId="26F239DE" w14:textId="77777777" w:rsidR="006C571B" w:rsidRDefault="006C571B" w:rsidP="006C571B">
      <w:pPr>
        <w:numPr>
          <w:ilvl w:val="0"/>
          <w:numId w:val="2"/>
        </w:numPr>
        <w:ind w:left="1440"/>
      </w:pPr>
      <w:r>
        <w:t>Classer les effets indésirables des médicaments</w:t>
      </w:r>
    </w:p>
    <w:p w14:paraId="35A2C21B" w14:textId="77777777" w:rsidR="006C571B" w:rsidRDefault="006C571B" w:rsidP="006C571B">
      <w:pPr>
        <w:numPr>
          <w:ilvl w:val="0"/>
          <w:numId w:val="2"/>
        </w:numPr>
        <w:ind w:left="1440"/>
      </w:pPr>
      <w:r>
        <w:t>Donner les mécanismes des effets indésirables</w:t>
      </w:r>
    </w:p>
    <w:p w14:paraId="3FFD5216" w14:textId="77777777" w:rsidR="006C571B" w:rsidRDefault="006C571B" w:rsidP="006C571B">
      <w:pPr>
        <w:numPr>
          <w:ilvl w:val="0"/>
          <w:numId w:val="2"/>
        </w:numPr>
        <w:ind w:left="1440"/>
      </w:pPr>
      <w:r>
        <w:t>Enumérer les facteurs favorisant les effets indésirables</w:t>
      </w:r>
    </w:p>
    <w:p w14:paraId="7442EC62" w14:textId="77777777" w:rsidR="006C571B" w:rsidRDefault="006C571B" w:rsidP="006C571B">
      <w:pPr>
        <w:ind w:left="0" w:firstLine="0"/>
      </w:pPr>
    </w:p>
    <w:p w14:paraId="46735600" w14:textId="77777777" w:rsidR="006C571B" w:rsidRDefault="006C571B" w:rsidP="006C571B">
      <w:pPr>
        <w:pStyle w:val="Titre2"/>
        <w:rPr>
          <w:b/>
        </w:rPr>
      </w:pPr>
      <w:bookmarkStart w:id="5" w:name="_Toc100607158"/>
      <w:bookmarkStart w:id="6" w:name="_Toc100286848"/>
      <w:r>
        <w:rPr>
          <w:b/>
        </w:rPr>
        <w:t>DEFINITION</w:t>
      </w:r>
      <w:bookmarkEnd w:id="5"/>
      <w:bookmarkEnd w:id="6"/>
    </w:p>
    <w:p w14:paraId="51B71524" w14:textId="18016508" w:rsidR="006C571B" w:rsidRDefault="006C571B" w:rsidP="006C571B">
      <w:pPr>
        <w:numPr>
          <w:ilvl w:val="0"/>
          <w:numId w:val="2"/>
        </w:numPr>
        <w:ind w:left="1440"/>
      </w:pPr>
      <w:r>
        <w:t xml:space="preserve">Effets indésirables des médicaments : toute réaction/effet nuisible, néfaste et non souhaitée se produisant fortuitement aux doses normalement </w:t>
      </w:r>
      <w:r w:rsidR="000E5F54">
        <w:t>utilisées</w:t>
      </w:r>
      <w:r>
        <w:t xml:space="preserve"> chez l’homme pour la prophylaxie, le diagnostic, ou le traitement d’un état pathologique (maladie), ou en vue de modifier la fonction physiologique</w:t>
      </w:r>
    </w:p>
    <w:p w14:paraId="77B2E96E" w14:textId="088DAA31" w:rsidR="006C571B" w:rsidRDefault="006C571B" w:rsidP="006C571B">
      <w:pPr>
        <w:numPr>
          <w:ilvl w:val="0"/>
          <w:numId w:val="2"/>
        </w:numPr>
        <w:ind w:left="1440"/>
      </w:pPr>
      <w:r>
        <w:t>Effets indésirables n’incluant pas les effets nocifs se pro</w:t>
      </w:r>
      <w:r w:rsidR="000E5F54">
        <w:t>d</w:t>
      </w:r>
      <w:r>
        <w:t xml:space="preserve">uisant suite à </w:t>
      </w:r>
    </w:p>
    <w:p w14:paraId="25B21B9F" w14:textId="77777777" w:rsidR="006C571B" w:rsidRDefault="006C571B" w:rsidP="006C571B">
      <w:pPr>
        <w:numPr>
          <w:ilvl w:val="1"/>
          <w:numId w:val="2"/>
        </w:numPr>
        <w:ind w:left="2160"/>
      </w:pPr>
      <w:r>
        <w:t>Intoxication volontaire</w:t>
      </w:r>
    </w:p>
    <w:p w14:paraId="3CDA6393" w14:textId="77777777" w:rsidR="006C571B" w:rsidRDefault="006C571B" w:rsidP="006C571B">
      <w:pPr>
        <w:numPr>
          <w:ilvl w:val="1"/>
          <w:numId w:val="2"/>
        </w:numPr>
        <w:ind w:left="2160"/>
      </w:pPr>
      <w:r>
        <w:t>Toxicomanie</w:t>
      </w:r>
    </w:p>
    <w:p w14:paraId="212ADCD0" w14:textId="77777777" w:rsidR="006C571B" w:rsidRDefault="006C571B" w:rsidP="006C571B">
      <w:pPr>
        <w:ind w:left="0" w:firstLine="0"/>
      </w:pPr>
    </w:p>
    <w:p w14:paraId="0465EC4F" w14:textId="77777777" w:rsidR="006C571B" w:rsidRDefault="006C571B" w:rsidP="006C571B">
      <w:pPr>
        <w:pStyle w:val="Titre2"/>
        <w:rPr>
          <w:b/>
        </w:rPr>
      </w:pPr>
      <w:bookmarkStart w:id="7" w:name="_Toc100607159"/>
      <w:bookmarkStart w:id="8" w:name="_Toc100286849"/>
      <w:r>
        <w:rPr>
          <w:b/>
        </w:rPr>
        <w:t>CLASSIFICATION DES EFFETS INDESIRABLES</w:t>
      </w:r>
      <w:bookmarkEnd w:id="7"/>
      <w:bookmarkEnd w:id="8"/>
    </w:p>
    <w:p w14:paraId="552756E2" w14:textId="77777777" w:rsidR="006C571B" w:rsidRDefault="006C571B" w:rsidP="006C571B">
      <w:pPr>
        <w:pStyle w:val="Titre3"/>
        <w:rPr>
          <w:b/>
        </w:rPr>
      </w:pPr>
      <w:bookmarkStart w:id="9" w:name="_Toc100607160"/>
      <w:r>
        <w:rPr>
          <w:b/>
        </w:rPr>
        <w:t>Prise en compte de la fréquence</w:t>
      </w:r>
      <w:bookmarkEnd w:id="9"/>
    </w:p>
    <w:p w14:paraId="613D012E" w14:textId="77777777" w:rsidR="006C571B" w:rsidRDefault="006C571B" w:rsidP="006C571B">
      <w:pPr>
        <w:numPr>
          <w:ilvl w:val="0"/>
          <w:numId w:val="2"/>
        </w:numPr>
        <w:ind w:left="1440"/>
      </w:pPr>
      <w:r>
        <w:t>Effets indésirables caractérisés par leur fréquence de survenue (échelle de Gering-Souillet, 2006) :</w:t>
      </w:r>
    </w:p>
    <w:p w14:paraId="7C631CD2" w14:textId="77777777" w:rsidR="006C571B" w:rsidRDefault="006C571B" w:rsidP="006C571B">
      <w:pPr>
        <w:numPr>
          <w:ilvl w:val="1"/>
          <w:numId w:val="2"/>
        </w:numPr>
        <w:ind w:left="2160"/>
      </w:pPr>
      <w:r>
        <w:t>Fréquent : 1-10%</w:t>
      </w:r>
    </w:p>
    <w:p w14:paraId="01559FB3" w14:textId="77777777" w:rsidR="006C571B" w:rsidRDefault="006C571B" w:rsidP="006C571B">
      <w:pPr>
        <w:numPr>
          <w:ilvl w:val="1"/>
          <w:numId w:val="2"/>
        </w:numPr>
        <w:ind w:left="2160"/>
      </w:pPr>
      <w:r>
        <w:t>Peu fréquent : 0,01 à 1%</w:t>
      </w:r>
    </w:p>
    <w:p w14:paraId="4CDC4FCC" w14:textId="77777777" w:rsidR="006C571B" w:rsidRDefault="006C571B" w:rsidP="006C571B">
      <w:pPr>
        <w:numPr>
          <w:ilvl w:val="1"/>
          <w:numId w:val="2"/>
        </w:numPr>
        <w:ind w:left="2160"/>
      </w:pPr>
      <w:r>
        <w:t xml:space="preserve">Très rare : </w:t>
      </w:r>
      <w:r>
        <w:rPr>
          <w:rFonts w:ascii="Symbol" w:hAnsi="Symbol"/>
        </w:rPr>
        <w:sym w:font="Symbol" w:char="F03C"/>
      </w:r>
      <w:r>
        <w:t xml:space="preserve"> 0,01%</w:t>
      </w:r>
    </w:p>
    <w:p w14:paraId="3AEE20AC" w14:textId="77777777" w:rsidR="006C571B" w:rsidRDefault="006C571B" w:rsidP="006C571B">
      <w:pPr>
        <w:ind w:left="0" w:firstLine="0"/>
      </w:pPr>
    </w:p>
    <w:p w14:paraId="5C684A70" w14:textId="77777777" w:rsidR="006C571B" w:rsidRDefault="006C571B" w:rsidP="006C571B">
      <w:pPr>
        <w:pStyle w:val="Titre3"/>
        <w:rPr>
          <w:b/>
        </w:rPr>
      </w:pPr>
      <w:bookmarkStart w:id="10" w:name="_Toc100607161"/>
      <w:r>
        <w:rPr>
          <w:b/>
        </w:rPr>
        <w:lastRenderedPageBreak/>
        <w:t>Types d’effets indésirables</w:t>
      </w:r>
      <w:bookmarkEnd w:id="10"/>
    </w:p>
    <w:p w14:paraId="27FC905E" w14:textId="77777777" w:rsidR="006C571B" w:rsidRDefault="006C571B" w:rsidP="006C571B">
      <w:pPr>
        <w:pStyle w:val="Titre4"/>
        <w:rPr>
          <w:b/>
        </w:rPr>
      </w:pPr>
      <w:r>
        <w:rPr>
          <w:b/>
        </w:rPr>
        <w:t>Effets toxiques</w:t>
      </w:r>
    </w:p>
    <w:p w14:paraId="1F3B2C49" w14:textId="77777777" w:rsidR="006C571B" w:rsidRDefault="006C571B" w:rsidP="006C571B">
      <w:pPr>
        <w:numPr>
          <w:ilvl w:val="0"/>
          <w:numId w:val="2"/>
        </w:numPr>
        <w:ind w:left="1440"/>
      </w:pPr>
      <w:r>
        <w:t>Ensemble des manifestations toxiques indésirables consécutives à l’administration d’un médicament</w:t>
      </w:r>
    </w:p>
    <w:p w14:paraId="3C1EA098" w14:textId="77777777" w:rsidR="006C571B" w:rsidRDefault="006C571B" w:rsidP="006C571B">
      <w:pPr>
        <w:ind w:left="0" w:firstLine="0"/>
      </w:pPr>
    </w:p>
    <w:p w14:paraId="7E03CA45" w14:textId="77777777" w:rsidR="006C571B" w:rsidRDefault="006C571B" w:rsidP="006C571B">
      <w:pPr>
        <w:pStyle w:val="Titre5"/>
        <w:rPr>
          <w:b/>
        </w:rPr>
      </w:pPr>
      <w:r>
        <w:rPr>
          <w:b/>
        </w:rPr>
        <w:t>Toxicité directe</w:t>
      </w:r>
    </w:p>
    <w:p w14:paraId="7273BE36" w14:textId="77777777" w:rsidR="006C571B" w:rsidRDefault="006C571B" w:rsidP="006C571B">
      <w:pPr>
        <w:numPr>
          <w:ilvl w:val="0"/>
          <w:numId w:val="2"/>
        </w:numPr>
        <w:ind w:left="1440"/>
        <w:rPr>
          <w:i/>
          <w:iCs/>
        </w:rPr>
      </w:pPr>
      <w:r>
        <w:t>Dépendance uniquement des propriétés intrinsèques du médicament (</w:t>
      </w:r>
      <w:r>
        <w:rPr>
          <w:i/>
          <w:iCs/>
        </w:rPr>
        <w:t>en rapport avec ses actions et effets pharmacologiques)</w:t>
      </w:r>
    </w:p>
    <w:p w14:paraId="5D551547" w14:textId="77777777" w:rsidR="006C571B" w:rsidRDefault="006C571B" w:rsidP="006C571B">
      <w:pPr>
        <w:numPr>
          <w:ilvl w:val="0"/>
          <w:numId w:val="2"/>
        </w:numPr>
        <w:ind w:left="1440"/>
        <w:rPr>
          <w:i/>
          <w:iCs/>
        </w:rPr>
      </w:pPr>
      <w:r>
        <w:t>Toxicité, appelée parfois “primaire” : souvent un degré excessif de l’effet souhaité (</w:t>
      </w:r>
      <w:r>
        <w:rPr>
          <w:i/>
          <w:iCs/>
        </w:rPr>
        <w:t>ex : insuline = risque d’hypoglycémie)</w:t>
      </w:r>
    </w:p>
    <w:p w14:paraId="241E21C8" w14:textId="77777777" w:rsidR="006C571B" w:rsidRDefault="006C571B" w:rsidP="006C571B">
      <w:pPr>
        <w:numPr>
          <w:ilvl w:val="0"/>
          <w:numId w:val="2"/>
        </w:numPr>
        <w:ind w:left="1440"/>
      </w:pPr>
      <w:r>
        <w:t>Absence de dépendance des caractéristiques individuelles, mais de la dose</w:t>
      </w:r>
    </w:p>
    <w:p w14:paraId="3302B918" w14:textId="77777777" w:rsidR="006C571B" w:rsidRDefault="006C571B" w:rsidP="006C571B">
      <w:pPr>
        <w:ind w:left="0" w:firstLine="0"/>
      </w:pPr>
    </w:p>
    <w:p w14:paraId="0A83937B" w14:textId="77777777" w:rsidR="006C571B" w:rsidRDefault="006C571B" w:rsidP="006C571B">
      <w:pPr>
        <w:pStyle w:val="Titre5"/>
        <w:rPr>
          <w:b/>
        </w:rPr>
      </w:pPr>
      <w:r>
        <w:rPr>
          <w:b/>
        </w:rPr>
        <w:t>Toxicité relative</w:t>
      </w:r>
    </w:p>
    <w:p w14:paraId="74BD8D47" w14:textId="77777777" w:rsidR="006C571B" w:rsidRDefault="006C571B" w:rsidP="006C571B">
      <w:pPr>
        <w:numPr>
          <w:ilvl w:val="0"/>
          <w:numId w:val="2"/>
        </w:numPr>
        <w:ind w:left="1440"/>
      </w:pPr>
      <w:r>
        <w:t>Susceptibilité accrue du malade à des doses tolérées par d’autres patients (parler ici de variations individuelles)</w:t>
      </w:r>
    </w:p>
    <w:p w14:paraId="26E1D475" w14:textId="77777777" w:rsidR="006C571B" w:rsidRDefault="006C571B" w:rsidP="006C571B">
      <w:pPr>
        <w:numPr>
          <w:ilvl w:val="0"/>
          <w:numId w:val="2"/>
        </w:numPr>
        <w:ind w:left="1440"/>
      </w:pPr>
      <w:r>
        <w:t>Origine :</w:t>
      </w:r>
    </w:p>
    <w:p w14:paraId="40A04320" w14:textId="77777777" w:rsidR="006C571B" w:rsidRDefault="006C571B" w:rsidP="006C571B">
      <w:pPr>
        <w:numPr>
          <w:ilvl w:val="1"/>
          <w:numId w:val="2"/>
        </w:numPr>
        <w:ind w:left="2160"/>
      </w:pPr>
      <w:r>
        <w:t>Génétique par déficience ou anomalie enzymatique</w:t>
      </w:r>
    </w:p>
    <w:p w14:paraId="5F3C0C6C" w14:textId="77777777" w:rsidR="006C571B" w:rsidRDefault="006C571B" w:rsidP="006C571B">
      <w:pPr>
        <w:numPr>
          <w:ilvl w:val="1"/>
          <w:numId w:val="2"/>
        </w:numPr>
        <w:ind w:left="2160"/>
      </w:pPr>
      <w:r>
        <w:t>Physiologiques (âge, état de nutrition, grossesse)</w:t>
      </w:r>
    </w:p>
    <w:p w14:paraId="1DB5775C" w14:textId="77777777" w:rsidR="006C571B" w:rsidRDefault="006C571B" w:rsidP="006C571B">
      <w:pPr>
        <w:numPr>
          <w:ilvl w:val="1"/>
          <w:numId w:val="2"/>
        </w:numPr>
        <w:ind w:left="2160"/>
      </w:pPr>
      <w:r>
        <w:t>Chimique (interaction avec d’autres médicaments)</w:t>
      </w:r>
    </w:p>
    <w:p w14:paraId="55B0BC05" w14:textId="77777777" w:rsidR="006C571B" w:rsidRDefault="006C571B" w:rsidP="006C571B">
      <w:pPr>
        <w:numPr>
          <w:ilvl w:val="1"/>
          <w:numId w:val="2"/>
        </w:numPr>
        <w:ind w:left="2160"/>
      </w:pPr>
      <w:r>
        <w:t>Pathologique : modifications du métabolisme et de l’élimination (</w:t>
      </w:r>
      <w:r>
        <w:rPr>
          <w:rFonts w:ascii="Segoe UI Symbol" w:hAnsi="Segoe UI Symbol" w:cs="Segoe UI Symbol"/>
        </w:rPr>
        <w:t>➡</w:t>
      </w:r>
      <w:r>
        <w:t xml:space="preserve"> accumulation)</w:t>
      </w:r>
    </w:p>
    <w:p w14:paraId="7829DD1C" w14:textId="77777777" w:rsidR="006C571B" w:rsidRDefault="006C571B" w:rsidP="006C571B">
      <w:pPr>
        <w:ind w:left="0" w:firstLine="0"/>
      </w:pPr>
    </w:p>
    <w:p w14:paraId="79147E71" w14:textId="77777777" w:rsidR="006C571B" w:rsidRDefault="006C571B" w:rsidP="006C571B">
      <w:pPr>
        <w:pStyle w:val="Titre4"/>
        <w:rPr>
          <w:b/>
        </w:rPr>
      </w:pPr>
      <w:r>
        <w:rPr>
          <w:b/>
        </w:rPr>
        <w:t>Side effects (effets d’accompagnement)</w:t>
      </w:r>
    </w:p>
    <w:p w14:paraId="2243BE3F" w14:textId="77777777" w:rsidR="006C571B" w:rsidRDefault="006C571B" w:rsidP="006C571B">
      <w:pPr>
        <w:numPr>
          <w:ilvl w:val="0"/>
          <w:numId w:val="2"/>
        </w:numPr>
        <w:ind w:left="1440"/>
        <w:rPr>
          <w:b/>
          <w:bCs/>
          <w:u w:val="single"/>
        </w:rPr>
      </w:pPr>
      <w:r>
        <w:t xml:space="preserve">Effets indésirables </w:t>
      </w:r>
      <w:r>
        <w:rPr>
          <w:b/>
          <w:bCs/>
          <w:u w:val="single"/>
        </w:rPr>
        <w:t>inévitables</w:t>
      </w:r>
    </w:p>
    <w:p w14:paraId="1BE640D8" w14:textId="28F8F864" w:rsidR="006C571B" w:rsidRDefault="006C571B" w:rsidP="006C571B">
      <w:pPr>
        <w:numPr>
          <w:ilvl w:val="0"/>
          <w:numId w:val="2"/>
        </w:numPr>
        <w:ind w:left="1440"/>
      </w:pPr>
      <w:r>
        <w:t xml:space="preserve">Effets faisant partie des propriétés pharmacologiques du médicament en question </w:t>
      </w:r>
      <w:r>
        <w:rPr>
          <w:i/>
          <w:iCs/>
        </w:rPr>
        <w:t xml:space="preserve">(ex : atropine pour antispasmodique : diminution des </w:t>
      </w:r>
      <w:r w:rsidR="00C7067C">
        <w:rPr>
          <w:i/>
          <w:iCs/>
        </w:rPr>
        <w:t>sécrétions</w:t>
      </w:r>
      <w:r>
        <w:rPr>
          <w:i/>
          <w:iCs/>
        </w:rPr>
        <w:t xml:space="preserve"> dans l’organisme = bouche, yeux sec</w:t>
      </w:r>
    </w:p>
    <w:p w14:paraId="6B525CA8" w14:textId="77777777" w:rsidR="006C571B" w:rsidRDefault="006C571B" w:rsidP="006C571B">
      <w:pPr>
        <w:numPr>
          <w:ilvl w:val="0"/>
          <w:numId w:val="2"/>
        </w:numPr>
        <w:ind w:left="1440"/>
      </w:pPr>
      <w:r>
        <w:t>Ex: sécheresse de la bouche en cas de traitement atropinique</w:t>
      </w:r>
    </w:p>
    <w:p w14:paraId="51B99017" w14:textId="77777777" w:rsidR="006C571B" w:rsidRDefault="006C571B" w:rsidP="006C571B">
      <w:pPr>
        <w:ind w:left="0" w:firstLine="0"/>
      </w:pPr>
    </w:p>
    <w:p w14:paraId="56D9B452" w14:textId="77777777" w:rsidR="006C571B" w:rsidRDefault="006C571B" w:rsidP="006C571B">
      <w:pPr>
        <w:pStyle w:val="Titre4"/>
        <w:rPr>
          <w:b/>
        </w:rPr>
      </w:pPr>
      <w:r>
        <w:rPr>
          <w:b/>
        </w:rPr>
        <w:lastRenderedPageBreak/>
        <w:t>Effets secondaires</w:t>
      </w:r>
    </w:p>
    <w:p w14:paraId="78E79231" w14:textId="77777777" w:rsidR="006C571B" w:rsidRDefault="006C571B" w:rsidP="006C571B">
      <w:pPr>
        <w:numPr>
          <w:ilvl w:val="0"/>
          <w:numId w:val="2"/>
        </w:numPr>
        <w:ind w:left="1440"/>
      </w:pPr>
      <w:r>
        <w:t>Considération comme les “effets des effets” des médicaments</w:t>
      </w:r>
    </w:p>
    <w:p w14:paraId="66E04AEC" w14:textId="13371678" w:rsidR="006C571B" w:rsidRDefault="006C571B" w:rsidP="006C571B">
      <w:pPr>
        <w:numPr>
          <w:ilvl w:val="0"/>
          <w:numId w:val="2"/>
        </w:numPr>
        <w:ind w:left="1440"/>
      </w:pPr>
      <w:r>
        <w:t>Exemple : mycoses ou surinfections à la suite de l’</w:t>
      </w:r>
      <w:r w:rsidR="00C7067C">
        <w:t>administration</w:t>
      </w:r>
      <w:r>
        <w:t xml:space="preserve"> d’antibiotiques ou de glucocorticoïdes </w:t>
      </w:r>
    </w:p>
    <w:p w14:paraId="45A739F1" w14:textId="77777777" w:rsidR="006C571B" w:rsidRDefault="006C571B" w:rsidP="006C571B">
      <w:pPr>
        <w:ind w:left="0" w:firstLine="0"/>
      </w:pPr>
    </w:p>
    <w:p w14:paraId="3B66B635" w14:textId="77777777" w:rsidR="006C571B" w:rsidRDefault="006C571B" w:rsidP="006C571B">
      <w:pPr>
        <w:pStyle w:val="Titre4"/>
        <w:rPr>
          <w:b/>
        </w:rPr>
      </w:pPr>
      <w:r>
        <w:rPr>
          <w:b/>
        </w:rPr>
        <w:t>Idiosyncrasie</w:t>
      </w:r>
    </w:p>
    <w:p w14:paraId="6E68D90E" w14:textId="77777777" w:rsidR="006C571B" w:rsidRDefault="006C571B" w:rsidP="006C571B">
      <w:pPr>
        <w:numPr>
          <w:ilvl w:val="0"/>
          <w:numId w:val="2"/>
        </w:numPr>
        <w:ind w:left="1440"/>
      </w:pPr>
      <w:r>
        <w:t>Réactivité anormale à un médicament</w:t>
      </w:r>
    </w:p>
    <w:p w14:paraId="475BEB11" w14:textId="77777777" w:rsidR="006C571B" w:rsidRDefault="006C571B" w:rsidP="006C571B">
      <w:pPr>
        <w:numPr>
          <w:ilvl w:val="0"/>
          <w:numId w:val="2"/>
        </w:numPr>
        <w:ind w:left="1440"/>
      </w:pPr>
      <w:r>
        <w:t>Origine génétique et résultant d’une prédisposition particulière du sujet</w:t>
      </w:r>
    </w:p>
    <w:p w14:paraId="2C55C41E" w14:textId="77777777" w:rsidR="006C571B" w:rsidRDefault="006C571B" w:rsidP="006C571B">
      <w:pPr>
        <w:numPr>
          <w:ilvl w:val="0"/>
          <w:numId w:val="2"/>
        </w:numPr>
        <w:ind w:left="1440"/>
      </w:pPr>
      <w:r>
        <w:t>Groupement de réactions indésirables dont les symptômes ont une ressemblance aux réactions allergiques sans preuve au préalable d’une sensibilisation</w:t>
      </w:r>
    </w:p>
    <w:p w14:paraId="71517DAD" w14:textId="77777777" w:rsidR="006C571B" w:rsidRDefault="006C571B" w:rsidP="006C571B">
      <w:pPr>
        <w:ind w:left="0" w:firstLine="0"/>
      </w:pPr>
    </w:p>
    <w:p w14:paraId="5E4F3A53" w14:textId="77777777" w:rsidR="006C571B" w:rsidRDefault="006C571B" w:rsidP="006C571B">
      <w:pPr>
        <w:pStyle w:val="Titre4"/>
        <w:rPr>
          <w:b/>
        </w:rPr>
      </w:pPr>
      <w:r>
        <w:rPr>
          <w:b/>
        </w:rPr>
        <w:t>Hypersensibilités de nature immune</w:t>
      </w:r>
    </w:p>
    <w:p w14:paraId="207D7252" w14:textId="77777777" w:rsidR="006C571B" w:rsidRDefault="006C571B" w:rsidP="006C571B">
      <w:pPr>
        <w:numPr>
          <w:ilvl w:val="0"/>
          <w:numId w:val="2"/>
        </w:numPr>
        <w:ind w:left="1440"/>
      </w:pPr>
      <w:r>
        <w:t>Manifestations possibles immédiatement :</w:t>
      </w:r>
    </w:p>
    <w:p w14:paraId="07978A69" w14:textId="77777777" w:rsidR="006C571B" w:rsidRDefault="006C571B" w:rsidP="006C571B">
      <w:pPr>
        <w:numPr>
          <w:ilvl w:val="1"/>
          <w:numId w:val="2"/>
        </w:numPr>
        <w:ind w:left="2160"/>
      </w:pPr>
      <w:r>
        <w:t>Après administration du médicament ou après un certain délai</w:t>
      </w:r>
    </w:p>
    <w:p w14:paraId="5BA590B8" w14:textId="77777777" w:rsidR="006C571B" w:rsidRDefault="006C571B" w:rsidP="006C571B">
      <w:pPr>
        <w:numPr>
          <w:ilvl w:val="1"/>
          <w:numId w:val="2"/>
        </w:numPr>
        <w:ind w:left="2160"/>
      </w:pPr>
      <w:r>
        <w:t>Mais toujours après un contact préalable avec la même substance ou avec son métabolite (réaction croisée)</w:t>
      </w:r>
    </w:p>
    <w:p w14:paraId="79ADD3FB" w14:textId="77777777" w:rsidR="006C571B" w:rsidRDefault="006C571B" w:rsidP="006C571B">
      <w:pPr>
        <w:numPr>
          <w:ilvl w:val="0"/>
          <w:numId w:val="2"/>
        </w:numPr>
        <w:ind w:left="1440"/>
      </w:pPr>
      <w:r>
        <w:t>Existence de réactions d’hypersensibilités de types I à IV</w:t>
      </w:r>
    </w:p>
    <w:p w14:paraId="1CAA4F07" w14:textId="77777777" w:rsidR="006C571B" w:rsidRDefault="006C571B" w:rsidP="006C571B">
      <w:pPr>
        <w:ind w:left="0" w:firstLine="0"/>
      </w:pPr>
    </w:p>
    <w:p w14:paraId="4CA68959" w14:textId="77777777" w:rsidR="006C571B" w:rsidRDefault="006C571B" w:rsidP="006C571B">
      <w:pPr>
        <w:pStyle w:val="Titre4"/>
        <w:rPr>
          <w:b/>
        </w:rPr>
      </w:pPr>
      <w:r>
        <w:rPr>
          <w:b/>
        </w:rPr>
        <w:t>Thésaurismose</w:t>
      </w:r>
    </w:p>
    <w:p w14:paraId="2BEFF1F3" w14:textId="77777777" w:rsidR="006C571B" w:rsidRDefault="006C571B" w:rsidP="006C571B">
      <w:pPr>
        <w:numPr>
          <w:ilvl w:val="0"/>
          <w:numId w:val="2"/>
        </w:numPr>
        <w:ind w:left="1440"/>
      </w:pPr>
      <w:r>
        <w:t>Séquestration de certains médicaments dans certains tissus de :</w:t>
      </w:r>
    </w:p>
    <w:p w14:paraId="2F21D038" w14:textId="77777777" w:rsidR="006C571B" w:rsidRDefault="006C571B" w:rsidP="006C571B">
      <w:pPr>
        <w:numPr>
          <w:ilvl w:val="1"/>
          <w:numId w:val="2"/>
        </w:numPr>
        <w:ind w:left="2160"/>
      </w:pPr>
      <w:r>
        <w:t>Manière prolongée</w:t>
      </w:r>
    </w:p>
    <w:p w14:paraId="3F3DBF1F" w14:textId="77777777" w:rsidR="006C571B" w:rsidRDefault="006C571B" w:rsidP="006C571B">
      <w:pPr>
        <w:numPr>
          <w:ilvl w:val="1"/>
          <w:numId w:val="2"/>
        </w:numPr>
        <w:ind w:left="2160"/>
      </w:pPr>
      <w:r>
        <w:t>Voire indéfinie</w:t>
      </w:r>
    </w:p>
    <w:p w14:paraId="3ED9ECBE" w14:textId="77777777" w:rsidR="006C571B" w:rsidRDefault="006C571B" w:rsidP="006C571B">
      <w:pPr>
        <w:ind w:left="0" w:firstLine="0"/>
      </w:pPr>
    </w:p>
    <w:p w14:paraId="495BFEC1" w14:textId="77777777" w:rsidR="006C571B" w:rsidRDefault="006C571B" w:rsidP="006C571B">
      <w:pPr>
        <w:pStyle w:val="Titre3"/>
        <w:rPr>
          <w:b/>
        </w:rPr>
      </w:pPr>
      <w:bookmarkStart w:id="11" w:name="_Toc100607162"/>
      <w:r>
        <w:rPr>
          <w:b/>
        </w:rPr>
        <w:t>Prévisibilité des effets indésirables</w:t>
      </w:r>
      <w:bookmarkEnd w:id="11"/>
    </w:p>
    <w:p w14:paraId="694901C3" w14:textId="77777777" w:rsidR="006C571B" w:rsidRDefault="006C571B" w:rsidP="006C571B">
      <w:pPr>
        <w:numPr>
          <w:ilvl w:val="0"/>
          <w:numId w:val="2"/>
        </w:numPr>
        <w:ind w:left="1440"/>
      </w:pPr>
      <w:r>
        <w:t>Effets indésirables attendus ou prévisibles</w:t>
      </w:r>
    </w:p>
    <w:p w14:paraId="30D572E7" w14:textId="77777777" w:rsidR="006C571B" w:rsidRDefault="006C571B" w:rsidP="006C571B">
      <w:pPr>
        <w:numPr>
          <w:ilvl w:val="1"/>
          <w:numId w:val="2"/>
        </w:numPr>
        <w:ind w:left="2160"/>
      </w:pPr>
      <w:r>
        <w:t>Effets mentionnés dans les caractéristiques du produit et figurant dans le dossier d’enregistrement pour l’obtention de l’AMM</w:t>
      </w:r>
    </w:p>
    <w:p w14:paraId="07A5D253" w14:textId="447107BA" w:rsidR="006C571B" w:rsidRDefault="006C571B" w:rsidP="006C571B">
      <w:pPr>
        <w:numPr>
          <w:ilvl w:val="1"/>
          <w:numId w:val="2"/>
        </w:numPr>
        <w:ind w:left="2160"/>
      </w:pPr>
      <w:r>
        <w:t xml:space="preserve">Conséquences du mécanisme d’action du </w:t>
      </w:r>
      <w:r w:rsidR="00C7067C">
        <w:t>médicament</w:t>
      </w:r>
      <w:r>
        <w:t xml:space="preserve"> ou de l’</w:t>
      </w:r>
      <w:r w:rsidR="00C7067C">
        <w:t>expression de</w:t>
      </w:r>
      <w:r>
        <w:t xml:space="preserve"> ses propriétés pharmacologiques (effets pharmacologiques latéraux)</w:t>
      </w:r>
    </w:p>
    <w:p w14:paraId="7F827BC9" w14:textId="77777777" w:rsidR="006C571B" w:rsidRDefault="006C571B" w:rsidP="006C571B">
      <w:pPr>
        <w:numPr>
          <w:ilvl w:val="0"/>
          <w:numId w:val="2"/>
        </w:numPr>
        <w:ind w:left="1440"/>
      </w:pPr>
      <w:r>
        <w:lastRenderedPageBreak/>
        <w:t>Effets indésirables inattendus ou imprévisibles</w:t>
      </w:r>
    </w:p>
    <w:p w14:paraId="4BD3D2B8" w14:textId="77777777" w:rsidR="006C571B" w:rsidRDefault="006C571B" w:rsidP="006C571B">
      <w:pPr>
        <w:numPr>
          <w:ilvl w:val="1"/>
          <w:numId w:val="2"/>
        </w:numPr>
        <w:ind w:left="2160"/>
      </w:pPr>
      <w:r>
        <w:t>Effets dont la nature, la gravité ou la fréquence ne concordant pas avec le contenu du dossier d’enregistrement (AMM)</w:t>
      </w:r>
    </w:p>
    <w:p w14:paraId="1847AAB2" w14:textId="77777777" w:rsidR="006C571B" w:rsidRDefault="006C571B" w:rsidP="006C571B">
      <w:pPr>
        <w:numPr>
          <w:ilvl w:val="1"/>
          <w:numId w:val="2"/>
        </w:numPr>
        <w:ind w:left="2160"/>
      </w:pPr>
      <w:r>
        <w:t>Effets non expliqués par les propriétés pharmacologiques du médicament</w:t>
      </w:r>
    </w:p>
    <w:p w14:paraId="106C3DF1" w14:textId="77777777" w:rsidR="006C571B" w:rsidRDefault="006C571B" w:rsidP="006C571B">
      <w:pPr>
        <w:numPr>
          <w:ilvl w:val="1"/>
          <w:numId w:val="2"/>
        </w:numPr>
        <w:ind w:left="2160"/>
        <w:rPr>
          <w:i/>
          <w:iCs/>
        </w:rPr>
      </w:pPr>
      <w:r>
        <w:rPr>
          <w:i/>
          <w:iCs/>
        </w:rPr>
        <w:t>Ex : tendinite lors de l’utilisation des quinolones, possible séquelles définitives</w:t>
      </w:r>
    </w:p>
    <w:p w14:paraId="239100C6" w14:textId="77777777" w:rsidR="006C571B" w:rsidRDefault="006C571B" w:rsidP="006C571B">
      <w:pPr>
        <w:ind w:left="0" w:firstLine="0"/>
        <w:rPr>
          <w:i/>
          <w:iCs/>
        </w:rPr>
      </w:pPr>
    </w:p>
    <w:p w14:paraId="0CD76494" w14:textId="77777777" w:rsidR="006C571B" w:rsidRDefault="006C571B" w:rsidP="006C571B">
      <w:pPr>
        <w:pStyle w:val="Titre3"/>
        <w:rPr>
          <w:b/>
        </w:rPr>
      </w:pPr>
      <w:bookmarkStart w:id="12" w:name="_Toc100607163"/>
      <w:r>
        <w:rPr>
          <w:b/>
        </w:rPr>
        <w:t>Evitabilité des effets indésirables</w:t>
      </w:r>
      <w:bookmarkEnd w:id="12"/>
    </w:p>
    <w:p w14:paraId="3E3A4188" w14:textId="77777777" w:rsidR="006C571B" w:rsidRDefault="006C571B" w:rsidP="006C571B">
      <w:pPr>
        <w:numPr>
          <w:ilvl w:val="0"/>
          <w:numId w:val="2"/>
        </w:numPr>
        <w:ind w:left="1440"/>
      </w:pPr>
      <w:r>
        <w:t>Notion récemment introduite, surtout en pharmacovigilance</w:t>
      </w:r>
    </w:p>
    <w:p w14:paraId="5BF0C7FC" w14:textId="77777777" w:rsidR="006C571B" w:rsidRDefault="006C571B" w:rsidP="006C571B">
      <w:pPr>
        <w:numPr>
          <w:ilvl w:val="0"/>
          <w:numId w:val="2"/>
        </w:numPr>
        <w:ind w:left="1440"/>
      </w:pPr>
      <w:r>
        <w:t>Tentative de dénombrer et décrire les effets indésirables susceptibles d’être prévenus afin de réduire le risque médicamenteux</w:t>
      </w:r>
    </w:p>
    <w:p w14:paraId="3F34F69F" w14:textId="77777777" w:rsidR="006C571B" w:rsidRDefault="006C571B" w:rsidP="006C571B">
      <w:pPr>
        <w:ind w:left="0" w:firstLine="0"/>
      </w:pPr>
    </w:p>
    <w:p w14:paraId="6DE61710" w14:textId="77777777" w:rsidR="006C571B" w:rsidRDefault="006C571B" w:rsidP="006C571B">
      <w:pPr>
        <w:pStyle w:val="Titre3"/>
        <w:rPr>
          <w:b/>
        </w:rPr>
      </w:pPr>
      <w:bookmarkStart w:id="13" w:name="_Toc100607164"/>
      <w:r>
        <w:rPr>
          <w:b/>
        </w:rPr>
        <w:t>Gravité des effets indésirables</w:t>
      </w:r>
      <w:bookmarkEnd w:id="13"/>
    </w:p>
    <w:p w14:paraId="2F0FB0D5" w14:textId="77777777" w:rsidR="006C571B" w:rsidRDefault="006C571B" w:rsidP="006C571B">
      <w:pPr>
        <w:numPr>
          <w:ilvl w:val="0"/>
          <w:numId w:val="2"/>
        </w:numPr>
        <w:ind w:left="1440"/>
      </w:pPr>
      <w:r>
        <w:t>Effets indésirables classés graves selon l’OMS si pouvant être à l’origine de :</w:t>
      </w:r>
    </w:p>
    <w:p w14:paraId="07FFA423" w14:textId="77777777" w:rsidR="006C571B" w:rsidRDefault="006C571B" w:rsidP="006C571B">
      <w:pPr>
        <w:numPr>
          <w:ilvl w:val="1"/>
          <w:numId w:val="2"/>
        </w:numPr>
        <w:ind w:left="2160"/>
      </w:pPr>
      <w:r>
        <w:t>Décès</w:t>
      </w:r>
    </w:p>
    <w:p w14:paraId="75489480" w14:textId="77777777" w:rsidR="006C571B" w:rsidRDefault="006C571B" w:rsidP="006C571B">
      <w:pPr>
        <w:numPr>
          <w:ilvl w:val="1"/>
          <w:numId w:val="2"/>
        </w:numPr>
        <w:ind w:left="2160"/>
      </w:pPr>
      <w:r>
        <w:t>Mise en jeu du pronostic vital</w:t>
      </w:r>
    </w:p>
    <w:p w14:paraId="7C75DEC5" w14:textId="77777777" w:rsidR="006C571B" w:rsidRDefault="006C571B" w:rsidP="006C571B">
      <w:pPr>
        <w:numPr>
          <w:ilvl w:val="1"/>
          <w:numId w:val="2"/>
        </w:numPr>
        <w:ind w:left="2160"/>
      </w:pPr>
      <w:r>
        <w:t>Hospitalisation ou prolongement d’hospitalisation</w:t>
      </w:r>
    </w:p>
    <w:p w14:paraId="50F0178A" w14:textId="77777777" w:rsidR="006C571B" w:rsidRDefault="006C571B" w:rsidP="006C571B">
      <w:pPr>
        <w:numPr>
          <w:ilvl w:val="1"/>
          <w:numId w:val="2"/>
        </w:numPr>
        <w:ind w:left="2160"/>
      </w:pPr>
      <w:r>
        <w:t>Séquelles ou incapacité notable et durable</w:t>
      </w:r>
    </w:p>
    <w:p w14:paraId="25C3D93C" w14:textId="77777777" w:rsidR="006C571B" w:rsidRDefault="006C571B" w:rsidP="006C571B">
      <w:pPr>
        <w:numPr>
          <w:ilvl w:val="1"/>
          <w:numId w:val="2"/>
        </w:numPr>
        <w:ind w:left="2160"/>
      </w:pPr>
      <w:r>
        <w:t>Anomalie congénitale ou atteinte périnatale</w:t>
      </w:r>
    </w:p>
    <w:p w14:paraId="65718CF0" w14:textId="77777777" w:rsidR="006C571B" w:rsidRDefault="006C571B" w:rsidP="006C571B">
      <w:pPr>
        <w:numPr>
          <w:ilvl w:val="1"/>
          <w:numId w:val="2"/>
        </w:numPr>
        <w:ind w:left="2160"/>
      </w:pPr>
      <w:r>
        <w:t>Situation jugée grave par le médecin traitant ayant déclaré le cas</w:t>
      </w:r>
    </w:p>
    <w:p w14:paraId="5038D197" w14:textId="77777777" w:rsidR="006C571B" w:rsidRDefault="006C571B" w:rsidP="006C571B">
      <w:pPr>
        <w:ind w:left="0" w:firstLine="0"/>
      </w:pPr>
    </w:p>
    <w:p w14:paraId="2ECD781B" w14:textId="77777777" w:rsidR="006C571B" w:rsidRDefault="006C571B" w:rsidP="006C571B">
      <w:pPr>
        <w:pStyle w:val="Titre3"/>
        <w:rPr>
          <w:b/>
        </w:rPr>
      </w:pPr>
      <w:bookmarkStart w:id="14" w:name="_Toc100607165"/>
      <w:r>
        <w:rPr>
          <w:b/>
        </w:rPr>
        <w:t>Selon l’organe, selon la classe</w:t>
      </w:r>
      <w:bookmarkEnd w:id="14"/>
    </w:p>
    <w:p w14:paraId="1B856D04" w14:textId="77777777" w:rsidR="006C571B" w:rsidRDefault="006C571B" w:rsidP="006C571B">
      <w:pPr>
        <w:numPr>
          <w:ilvl w:val="0"/>
          <w:numId w:val="2"/>
        </w:numPr>
        <w:ind w:left="1440"/>
      </w:pPr>
      <w:r>
        <w:t>Effets indésirables des médicaments se manifestant par un ensemble de :</w:t>
      </w:r>
    </w:p>
    <w:p w14:paraId="68B3F7AF" w14:textId="77777777" w:rsidR="006C571B" w:rsidRDefault="006C571B" w:rsidP="006C571B">
      <w:pPr>
        <w:numPr>
          <w:ilvl w:val="1"/>
          <w:numId w:val="2"/>
        </w:numPr>
        <w:ind w:left="2160"/>
      </w:pPr>
      <w:r>
        <w:t>Symptômes</w:t>
      </w:r>
    </w:p>
    <w:p w14:paraId="5B31EE7B" w14:textId="77777777" w:rsidR="006C571B" w:rsidRDefault="006C571B" w:rsidP="006C571B">
      <w:pPr>
        <w:numPr>
          <w:ilvl w:val="1"/>
          <w:numId w:val="2"/>
        </w:numPr>
        <w:ind w:left="2160"/>
      </w:pPr>
      <w:r>
        <w:t>Syndromes</w:t>
      </w:r>
    </w:p>
    <w:p w14:paraId="2596D2D5" w14:textId="77777777" w:rsidR="006C571B" w:rsidRDefault="006C571B" w:rsidP="006C571B">
      <w:pPr>
        <w:numPr>
          <w:ilvl w:val="1"/>
          <w:numId w:val="2"/>
        </w:numPr>
        <w:ind w:left="2160"/>
      </w:pPr>
      <w:r>
        <w:t xml:space="preserve">Affections </w:t>
      </w:r>
    </w:p>
    <w:p w14:paraId="2622E94E" w14:textId="77777777" w:rsidR="006C571B" w:rsidRDefault="006C571B" w:rsidP="006C571B">
      <w:pPr>
        <w:numPr>
          <w:ilvl w:val="1"/>
          <w:numId w:val="2"/>
        </w:numPr>
        <w:ind w:left="2160"/>
      </w:pPr>
      <w:r>
        <w:t>...</w:t>
      </w:r>
    </w:p>
    <w:p w14:paraId="245D2A75" w14:textId="77777777" w:rsidR="006C571B" w:rsidRDefault="006C571B" w:rsidP="006C571B">
      <w:pPr>
        <w:ind w:left="0" w:firstLine="0"/>
      </w:pPr>
    </w:p>
    <w:p w14:paraId="25328B2B" w14:textId="77777777" w:rsidR="006C571B" w:rsidRDefault="006C571B" w:rsidP="006C571B">
      <w:pPr>
        <w:pStyle w:val="Titre2"/>
        <w:rPr>
          <w:b/>
        </w:rPr>
      </w:pPr>
      <w:bookmarkStart w:id="15" w:name="_Toc100607166"/>
      <w:bookmarkStart w:id="16" w:name="_Toc100286850"/>
      <w:r>
        <w:rPr>
          <w:b/>
        </w:rPr>
        <w:t>MECANISMES DES EFFETS INDESIRABLES</w:t>
      </w:r>
      <w:bookmarkEnd w:id="15"/>
      <w:bookmarkEnd w:id="16"/>
    </w:p>
    <w:p w14:paraId="1F11C119" w14:textId="56685D66" w:rsidR="006C571B" w:rsidRDefault="006F1987" w:rsidP="006C571B">
      <w:pPr>
        <w:pStyle w:val="Titre3"/>
        <w:rPr>
          <w:b/>
        </w:rPr>
      </w:pPr>
      <w:bookmarkStart w:id="17" w:name="_Toc100607167"/>
      <w:r>
        <w:rPr>
          <w:b/>
        </w:rPr>
        <w:t>Effets</w:t>
      </w:r>
      <w:r w:rsidR="006C571B">
        <w:rPr>
          <w:b/>
        </w:rPr>
        <w:t xml:space="preserve"> indésirables de type A</w:t>
      </w:r>
      <w:bookmarkEnd w:id="17"/>
    </w:p>
    <w:p w14:paraId="072992B5" w14:textId="77777777" w:rsidR="006C571B" w:rsidRDefault="006C571B" w:rsidP="006C571B">
      <w:pPr>
        <w:numPr>
          <w:ilvl w:val="0"/>
          <w:numId w:val="2"/>
        </w:numPr>
        <w:ind w:left="1440"/>
      </w:pPr>
      <w:r>
        <w:t>Effets indésirables liés aux propriétés pharmacologiques généralement prévisibles, souvent dose-dépendant et détectés avant l’AMM</w:t>
      </w:r>
    </w:p>
    <w:p w14:paraId="60EDED30" w14:textId="77777777" w:rsidR="006C571B" w:rsidRDefault="006C571B" w:rsidP="006C571B">
      <w:pPr>
        <w:ind w:left="0" w:firstLine="0"/>
      </w:pPr>
    </w:p>
    <w:p w14:paraId="473BDA76" w14:textId="5A1A8923" w:rsidR="006C571B" w:rsidRDefault="006C571B" w:rsidP="006C571B">
      <w:pPr>
        <w:ind w:left="0" w:firstLine="0"/>
      </w:pPr>
      <w:r>
        <w:t>3 catégories</w:t>
      </w:r>
    </w:p>
    <w:p w14:paraId="5E38C3B2" w14:textId="77777777" w:rsidR="006C571B" w:rsidRDefault="006C571B" w:rsidP="006C571B">
      <w:pPr>
        <w:pStyle w:val="Titre4"/>
        <w:rPr>
          <w:b/>
        </w:rPr>
      </w:pPr>
      <w:r>
        <w:rPr>
          <w:b/>
        </w:rPr>
        <w:t>Exagération de l’effet thérapeutique attendu</w:t>
      </w:r>
    </w:p>
    <w:p w14:paraId="42B873E8" w14:textId="77777777" w:rsidR="006C571B" w:rsidRDefault="006C571B" w:rsidP="006C571B">
      <w:pPr>
        <w:numPr>
          <w:ilvl w:val="0"/>
          <w:numId w:val="2"/>
        </w:numPr>
        <w:ind w:left="1440"/>
      </w:pPr>
      <w:r>
        <w:t>Effets indésirables directement liés à l’effet pharmacologique principal du médicament</w:t>
      </w:r>
    </w:p>
    <w:p w14:paraId="394368DE" w14:textId="77777777" w:rsidR="006C571B" w:rsidRDefault="006C571B" w:rsidP="006C571B">
      <w:pPr>
        <w:numPr>
          <w:ilvl w:val="0"/>
          <w:numId w:val="2"/>
        </w:numPr>
        <w:ind w:left="1440"/>
      </w:pPr>
      <w:r>
        <w:t>Apparition des EIM suite à une posologie excessive, une susceptibilité particulière du malade, aux interactions médicamenteuses, ...</w:t>
      </w:r>
    </w:p>
    <w:p w14:paraId="6A1AE177" w14:textId="77777777" w:rsidR="006C571B" w:rsidRDefault="006C571B" w:rsidP="006C571B">
      <w:pPr>
        <w:numPr>
          <w:ilvl w:val="0"/>
          <w:numId w:val="2"/>
        </w:numPr>
        <w:ind w:left="1440"/>
      </w:pPr>
      <w:r>
        <w:t>Exemples</w:t>
      </w:r>
    </w:p>
    <w:p w14:paraId="244883C0" w14:textId="77777777" w:rsidR="006C571B" w:rsidRDefault="006C571B" w:rsidP="006C571B">
      <w:pPr>
        <w:numPr>
          <w:ilvl w:val="1"/>
          <w:numId w:val="2"/>
        </w:numPr>
        <w:ind w:left="2160"/>
      </w:pPr>
      <w:r>
        <w:t>Hémorragie sous anticoagulant</w:t>
      </w:r>
    </w:p>
    <w:p w14:paraId="4CB99FFF" w14:textId="6C93D0F4" w:rsidR="006C571B" w:rsidRDefault="006C571B" w:rsidP="006F1987">
      <w:pPr>
        <w:numPr>
          <w:ilvl w:val="1"/>
          <w:numId w:val="2"/>
        </w:numPr>
        <w:ind w:left="2160"/>
      </w:pPr>
      <w:r>
        <w:t>Hypoglycémie après administration d’insuline</w:t>
      </w:r>
    </w:p>
    <w:p w14:paraId="083BD01C" w14:textId="77777777" w:rsidR="006C571B" w:rsidRDefault="006C571B" w:rsidP="006C571B">
      <w:pPr>
        <w:pStyle w:val="Titre4"/>
        <w:rPr>
          <w:b/>
        </w:rPr>
      </w:pPr>
      <w:r>
        <w:rPr>
          <w:b/>
        </w:rPr>
        <w:t>Effets latéraux ou effets pharmacologiques secondaires</w:t>
      </w:r>
    </w:p>
    <w:p w14:paraId="79AB66CF" w14:textId="77777777" w:rsidR="006C571B" w:rsidRDefault="006C571B" w:rsidP="006C571B">
      <w:pPr>
        <w:numPr>
          <w:ilvl w:val="0"/>
          <w:numId w:val="2"/>
        </w:numPr>
        <w:ind w:left="1440"/>
      </w:pPr>
      <w:r>
        <w:t>Effet(s) pharmacologique(s) autres que celui à la base de l’effet thérapeutique souhaité (effets considérés comme accessoires)</w:t>
      </w:r>
    </w:p>
    <w:p w14:paraId="3F940C95" w14:textId="77777777" w:rsidR="006C571B" w:rsidRDefault="006C571B" w:rsidP="006C571B">
      <w:pPr>
        <w:numPr>
          <w:ilvl w:val="0"/>
          <w:numId w:val="2"/>
        </w:numPr>
        <w:ind w:left="1440"/>
      </w:pPr>
      <w:r>
        <w:t>Exemples :</w:t>
      </w:r>
    </w:p>
    <w:p w14:paraId="2DB393DC" w14:textId="5231E059" w:rsidR="006C571B" w:rsidRDefault="006C571B" w:rsidP="006C571B">
      <w:pPr>
        <w:numPr>
          <w:ilvl w:val="1"/>
          <w:numId w:val="2"/>
        </w:numPr>
        <w:ind w:left="2160"/>
      </w:pPr>
      <w:r>
        <w:t>Signes “atropiniques” (sécheresse de la bouche, troubles de l’</w:t>
      </w:r>
      <w:r w:rsidR="006903C6">
        <w:t>accommodation</w:t>
      </w:r>
      <w:r>
        <w:t xml:space="preserve"> visuelle, rétention d’urine, ...) des antidépresseurs tricycliques</w:t>
      </w:r>
    </w:p>
    <w:p w14:paraId="5D3C2FB1" w14:textId="55507659" w:rsidR="006C571B" w:rsidRDefault="006C571B" w:rsidP="006C571B">
      <w:pPr>
        <w:numPr>
          <w:ilvl w:val="1"/>
          <w:numId w:val="2"/>
        </w:numPr>
        <w:ind w:left="2160"/>
      </w:pPr>
      <w:r>
        <w:t xml:space="preserve">Propriétés hyperglycémiante et hypotensive de diazoxide (utilisation pour l’une de ses propriétés, l’autre </w:t>
      </w:r>
      <w:r w:rsidR="006903C6">
        <w:t>non</w:t>
      </w:r>
      <w:r>
        <w:t xml:space="preserve"> nécessairement souhaitable)</w:t>
      </w:r>
    </w:p>
    <w:p w14:paraId="68FE9228" w14:textId="77777777" w:rsidR="006C571B" w:rsidRDefault="006C571B" w:rsidP="006C571B">
      <w:pPr>
        <w:numPr>
          <w:ilvl w:val="1"/>
          <w:numId w:val="2"/>
        </w:numPr>
        <w:ind w:left="2160"/>
      </w:pPr>
      <w:r>
        <w:t>Ulcère gastrique des AINS</w:t>
      </w:r>
    </w:p>
    <w:p w14:paraId="093A0836" w14:textId="47CFF3D1" w:rsidR="006C571B" w:rsidRDefault="006903C6" w:rsidP="006C571B">
      <w:pPr>
        <w:numPr>
          <w:ilvl w:val="1"/>
          <w:numId w:val="2"/>
        </w:numPr>
        <w:ind w:left="2160"/>
      </w:pPr>
      <w:r>
        <w:t>Activités</w:t>
      </w:r>
      <w:r w:rsidR="006C571B">
        <w:t xml:space="preserve"> corticoïdes et minéralocorticoïdes des corticostéroïdes </w:t>
      </w:r>
      <w:r w:rsidR="006C571B">
        <w:rPr>
          <w:i/>
          <w:iCs/>
        </w:rPr>
        <w:t>(rétention d’eau, surtout CS naturelles, absents chez les corticostéroïdes synthétiques)</w:t>
      </w:r>
    </w:p>
    <w:p w14:paraId="1259C6E1" w14:textId="77777777" w:rsidR="006C571B" w:rsidRDefault="006C571B" w:rsidP="006C571B">
      <w:pPr>
        <w:ind w:left="0" w:firstLine="0"/>
      </w:pPr>
    </w:p>
    <w:p w14:paraId="192F4F40" w14:textId="77777777" w:rsidR="006C571B" w:rsidRDefault="006C571B" w:rsidP="006C571B">
      <w:pPr>
        <w:pStyle w:val="Titre4"/>
        <w:rPr>
          <w:b/>
        </w:rPr>
      </w:pPr>
      <w:r>
        <w:rPr>
          <w:b/>
        </w:rPr>
        <w:lastRenderedPageBreak/>
        <w:t>Syndrome de sevrage</w:t>
      </w:r>
    </w:p>
    <w:p w14:paraId="470015DA" w14:textId="77777777" w:rsidR="006C571B" w:rsidRDefault="006C571B" w:rsidP="006C571B">
      <w:pPr>
        <w:numPr>
          <w:ilvl w:val="0"/>
          <w:numId w:val="2"/>
        </w:numPr>
        <w:ind w:left="1440"/>
      </w:pPr>
      <w:r>
        <w:t>Récidive des symptômes ayant motivé la prise de médicament après son arrêt</w:t>
      </w:r>
    </w:p>
    <w:p w14:paraId="69533099" w14:textId="77777777" w:rsidR="006C571B" w:rsidRDefault="006C571B" w:rsidP="006C571B">
      <w:pPr>
        <w:numPr>
          <w:ilvl w:val="1"/>
          <w:numId w:val="2"/>
        </w:numPr>
        <w:ind w:left="2160"/>
      </w:pPr>
      <w:r>
        <w:t>Mêmes symptômes (rebond)</w:t>
      </w:r>
    </w:p>
    <w:p w14:paraId="377C46B5" w14:textId="77777777" w:rsidR="006C571B" w:rsidRDefault="006C571B" w:rsidP="006C571B">
      <w:pPr>
        <w:numPr>
          <w:ilvl w:val="1"/>
          <w:numId w:val="2"/>
        </w:numPr>
        <w:ind w:left="2160"/>
      </w:pPr>
      <w:r>
        <w:t>Aggravés avec d’autres symptômes (sevrage)</w:t>
      </w:r>
    </w:p>
    <w:p w14:paraId="35B16186" w14:textId="68D21BA2" w:rsidR="006C571B" w:rsidRDefault="006C571B" w:rsidP="006C571B">
      <w:pPr>
        <w:numPr>
          <w:ilvl w:val="0"/>
          <w:numId w:val="2"/>
        </w:numPr>
        <w:ind w:left="1440"/>
      </w:pPr>
      <w:r>
        <w:t>Exemples : benzodiazépines (reprise plus grave de l’insomnie), b-bloquants</w:t>
      </w:r>
      <w:r w:rsidR="00087FDE">
        <w:t xml:space="preserve"> </w:t>
      </w:r>
      <w:r>
        <w:t>(anti</w:t>
      </w:r>
      <w:r w:rsidR="00087FDE">
        <w:t xml:space="preserve"> </w:t>
      </w:r>
      <w:r>
        <w:t>HTA : arrêt brutal= rebond : augmentation brusque de la PA avec risque d’accident cardio-vasculaire), antidépresseurs</w:t>
      </w:r>
    </w:p>
    <w:p w14:paraId="70F72E5D" w14:textId="77777777" w:rsidR="006C571B" w:rsidRDefault="006C571B" w:rsidP="006C571B">
      <w:pPr>
        <w:numPr>
          <w:ilvl w:val="0"/>
          <w:numId w:val="2"/>
        </w:numPr>
        <w:ind w:left="1440"/>
      </w:pPr>
      <w:r>
        <w:t>Réduction de leur fréquence ou leur gravité en choisissant le médicament le plus spécifique et l’utiliser à la posologie la plus faible, compatible avec un effet thérapeutique suffisant</w:t>
      </w:r>
    </w:p>
    <w:p w14:paraId="55BA9A13" w14:textId="77777777" w:rsidR="006C571B" w:rsidRDefault="006C571B" w:rsidP="006C571B">
      <w:pPr>
        <w:ind w:left="0" w:firstLine="0"/>
      </w:pPr>
    </w:p>
    <w:p w14:paraId="72B5A124" w14:textId="77777777" w:rsidR="006C571B" w:rsidRDefault="006C571B" w:rsidP="006C571B">
      <w:pPr>
        <w:pStyle w:val="Titre3"/>
        <w:rPr>
          <w:b/>
        </w:rPr>
      </w:pPr>
      <w:bookmarkStart w:id="18" w:name="_Toc100607168"/>
      <w:r>
        <w:rPr>
          <w:b/>
        </w:rPr>
        <w:t>Effets indésirables de type B</w:t>
      </w:r>
      <w:bookmarkEnd w:id="18"/>
    </w:p>
    <w:p w14:paraId="3CF3E4E7" w14:textId="77777777" w:rsidR="006C571B" w:rsidRDefault="006C571B" w:rsidP="006C571B">
      <w:pPr>
        <w:numPr>
          <w:ilvl w:val="0"/>
          <w:numId w:val="2"/>
        </w:numPr>
        <w:ind w:left="1440"/>
      </w:pPr>
      <w:r>
        <w:t>Effets indésirables indépendants des propriétés pharmacologiques du médicament</w:t>
      </w:r>
    </w:p>
    <w:p w14:paraId="73A15173" w14:textId="77777777" w:rsidR="006C571B" w:rsidRDefault="006C571B" w:rsidP="006C571B">
      <w:pPr>
        <w:numPr>
          <w:ilvl w:val="0"/>
          <w:numId w:val="2"/>
        </w:numPr>
        <w:ind w:left="1440"/>
      </w:pPr>
      <w:r>
        <w:t>Considération comme effets indésirables “bizarres)*</w:t>
      </w:r>
    </w:p>
    <w:p w14:paraId="0EBE9953" w14:textId="77777777" w:rsidR="006C571B" w:rsidRDefault="006C571B" w:rsidP="006C571B">
      <w:pPr>
        <w:numPr>
          <w:ilvl w:val="0"/>
          <w:numId w:val="2"/>
        </w:numPr>
        <w:ind w:left="1440"/>
      </w:pPr>
      <w:r>
        <w:t>Réactions inattendues, imprévisibles, peu fréquentes (non décelés au stade pré-AMM), souvent graves</w:t>
      </w:r>
    </w:p>
    <w:p w14:paraId="410CB209" w14:textId="77777777" w:rsidR="006C571B" w:rsidRDefault="006C571B" w:rsidP="006C571B">
      <w:pPr>
        <w:numPr>
          <w:ilvl w:val="0"/>
          <w:numId w:val="2"/>
        </w:numPr>
        <w:ind w:left="1440"/>
      </w:pPr>
      <w:r>
        <w:t>Effets indépendants de la posologie</w:t>
      </w:r>
    </w:p>
    <w:p w14:paraId="1F16D58B" w14:textId="77777777" w:rsidR="006C571B" w:rsidRDefault="006C571B" w:rsidP="006C571B">
      <w:pPr>
        <w:ind w:left="0" w:firstLine="0"/>
      </w:pPr>
    </w:p>
    <w:p w14:paraId="4A0AF9E8" w14:textId="0D8325DC" w:rsidR="006C571B" w:rsidRDefault="006C571B" w:rsidP="006C571B">
      <w:pPr>
        <w:pStyle w:val="Titre4"/>
        <w:rPr>
          <w:b/>
        </w:rPr>
      </w:pPr>
      <w:r>
        <w:rPr>
          <w:b/>
        </w:rPr>
        <w:t xml:space="preserve">Effets indésirables </w:t>
      </w:r>
      <w:r w:rsidR="00087FDE">
        <w:rPr>
          <w:b/>
        </w:rPr>
        <w:t>immuno-allergique</w:t>
      </w:r>
    </w:p>
    <w:p w14:paraId="22220CE7" w14:textId="77777777" w:rsidR="006C571B" w:rsidRDefault="006C571B" w:rsidP="006C571B">
      <w:pPr>
        <w:numPr>
          <w:ilvl w:val="0"/>
          <w:numId w:val="2"/>
        </w:numPr>
        <w:ind w:left="1440"/>
      </w:pPr>
      <w:r>
        <w:t>Réactions d’hypersensibilités observées :</w:t>
      </w:r>
    </w:p>
    <w:p w14:paraId="0F55C8AC" w14:textId="7FD0B2E6" w:rsidR="006C571B" w:rsidRDefault="00087FDE" w:rsidP="006C571B">
      <w:pPr>
        <w:numPr>
          <w:ilvl w:val="1"/>
          <w:numId w:val="2"/>
        </w:numPr>
        <w:ind w:left="2160"/>
      </w:pPr>
      <w:r>
        <w:t xml:space="preserve">Type I : réaction d’hypersensibilité </w:t>
      </w:r>
      <w:r w:rsidR="006C571B">
        <w:t>immédiate</w:t>
      </w:r>
      <w:r>
        <w:t xml:space="preserve"> (allergie) aux médicaments (ex : béta-lactamine, sulfamides)</w:t>
      </w:r>
    </w:p>
    <w:p w14:paraId="69001E49" w14:textId="46D4D3A8" w:rsidR="006C571B" w:rsidRDefault="006C571B" w:rsidP="006C571B">
      <w:pPr>
        <w:numPr>
          <w:ilvl w:val="1"/>
          <w:numId w:val="2"/>
        </w:numPr>
        <w:ind w:left="2160"/>
      </w:pPr>
      <w:r>
        <w:t xml:space="preserve">Type II : </w:t>
      </w:r>
      <w:r w:rsidR="00087FDE">
        <w:t xml:space="preserve">récent d’ADCC, avec leucopénie, neutropénie, anémie (ex : quinine) </w:t>
      </w:r>
    </w:p>
    <w:p w14:paraId="4496D260" w14:textId="3D841940" w:rsidR="006C571B" w:rsidRDefault="006C571B" w:rsidP="006C571B">
      <w:pPr>
        <w:numPr>
          <w:ilvl w:val="1"/>
          <w:numId w:val="2"/>
        </w:numPr>
        <w:ind w:left="2160"/>
      </w:pPr>
      <w:r>
        <w:t xml:space="preserve">Type III : </w:t>
      </w:r>
      <w:r w:rsidR="00D34A8E">
        <w:t xml:space="preserve">réaction d’hypersensibilité due à des complexes immuns avec urticaire, fièvre, arthrite… (ex : Céfarlor, cotrimoxazole) </w:t>
      </w:r>
    </w:p>
    <w:p w14:paraId="2B34BB38" w14:textId="11CB15A4" w:rsidR="00D34A8E" w:rsidRDefault="00D34A8E" w:rsidP="00D34A8E">
      <w:pPr>
        <w:numPr>
          <w:ilvl w:val="1"/>
          <w:numId w:val="2"/>
        </w:numPr>
        <w:ind w:left="2160"/>
      </w:pPr>
      <w:r>
        <w:t>Type IV : réaction d’hypersensibilité retardée avec eczéma de contact … (ex : pommade avec AINS, ATB…)</w:t>
      </w:r>
    </w:p>
    <w:p w14:paraId="61DCBB78" w14:textId="77777777" w:rsidR="006C571B" w:rsidRDefault="006C571B" w:rsidP="006C571B">
      <w:pPr>
        <w:ind w:left="0" w:firstLine="0"/>
      </w:pPr>
    </w:p>
    <w:p w14:paraId="6C10C973" w14:textId="77777777" w:rsidR="006C571B" w:rsidRDefault="006C571B" w:rsidP="006C571B">
      <w:pPr>
        <w:pStyle w:val="Titre4"/>
        <w:rPr>
          <w:b/>
        </w:rPr>
      </w:pPr>
      <w:r>
        <w:rPr>
          <w:b/>
        </w:rPr>
        <w:lastRenderedPageBreak/>
        <w:t>Effets indésirables pseudo-allergiques (anaphylactoïdes)</w:t>
      </w:r>
    </w:p>
    <w:p w14:paraId="5B0D3F54" w14:textId="77777777" w:rsidR="006C571B" w:rsidRDefault="006C571B" w:rsidP="006C571B">
      <w:pPr>
        <w:numPr>
          <w:ilvl w:val="0"/>
          <w:numId w:val="2"/>
        </w:numPr>
        <w:ind w:left="1440"/>
      </w:pPr>
      <w:r>
        <w:t>Réactions dues à la libération directe d’histamine suite à la dégranulation directe des polynucléaires basophiles et/ou des mastocytes</w:t>
      </w:r>
    </w:p>
    <w:p w14:paraId="0470A73A" w14:textId="221CCBF5" w:rsidR="006C571B" w:rsidRDefault="006C571B" w:rsidP="00D933CE">
      <w:pPr>
        <w:numPr>
          <w:ilvl w:val="0"/>
          <w:numId w:val="2"/>
        </w:numPr>
        <w:ind w:left="1440"/>
      </w:pPr>
      <w:r>
        <w:t xml:space="preserve">Exemples : le 48/80 (prototype pour développement antiallergiques), octylamine, colimycine, polymixine B, morphine, curares, dextran, </w:t>
      </w:r>
    </w:p>
    <w:p w14:paraId="70CC1DEE" w14:textId="77777777" w:rsidR="006C571B" w:rsidRDefault="006C571B" w:rsidP="006C571B">
      <w:pPr>
        <w:pStyle w:val="Titre4"/>
        <w:rPr>
          <w:b/>
        </w:rPr>
      </w:pPr>
      <w:r>
        <w:rPr>
          <w:b/>
        </w:rPr>
        <w:t>Effets indésirables toxiques</w:t>
      </w:r>
    </w:p>
    <w:p w14:paraId="61A526B3" w14:textId="53710C86" w:rsidR="006C571B" w:rsidRDefault="006C571B" w:rsidP="006C571B">
      <w:pPr>
        <w:numPr>
          <w:ilvl w:val="0"/>
          <w:numId w:val="2"/>
        </w:numPr>
        <w:ind w:left="1440"/>
      </w:pPr>
      <w:r>
        <w:t xml:space="preserve">Action directe du médicament ou un de ses métabolites sur un ou </w:t>
      </w:r>
      <w:r w:rsidR="00D933CE">
        <w:t>plusieurs</w:t>
      </w:r>
      <w:r>
        <w:t xml:space="preserve"> organes cibles</w:t>
      </w:r>
    </w:p>
    <w:p w14:paraId="4FF4D002" w14:textId="77777777" w:rsidR="006C571B" w:rsidRDefault="006C571B" w:rsidP="006C571B">
      <w:pPr>
        <w:numPr>
          <w:ilvl w:val="0"/>
          <w:numId w:val="2"/>
        </w:numPr>
        <w:ind w:left="1440"/>
      </w:pPr>
      <w:r>
        <w:t>Exemples :</w:t>
      </w:r>
    </w:p>
    <w:p w14:paraId="1623F80F" w14:textId="77777777" w:rsidR="006C571B" w:rsidRDefault="006C571B" w:rsidP="006C571B">
      <w:pPr>
        <w:numPr>
          <w:ilvl w:val="1"/>
          <w:numId w:val="2"/>
        </w:numPr>
        <w:ind w:left="2160"/>
      </w:pPr>
      <w:r>
        <w:t>Toxicité hépatique de l’isoniazide</w:t>
      </w:r>
    </w:p>
    <w:p w14:paraId="7CF0194F" w14:textId="4EA32310" w:rsidR="006C571B" w:rsidRDefault="00D933CE" w:rsidP="006C571B">
      <w:pPr>
        <w:numPr>
          <w:ilvl w:val="1"/>
          <w:numId w:val="2"/>
        </w:numPr>
        <w:ind w:left="2160"/>
      </w:pPr>
      <w:r>
        <w:t>Toxicité rénale des aminosides</w:t>
      </w:r>
    </w:p>
    <w:p w14:paraId="2207DEF1" w14:textId="77777777" w:rsidR="006C571B" w:rsidRDefault="006C571B" w:rsidP="006C571B">
      <w:pPr>
        <w:ind w:left="0" w:firstLine="0"/>
      </w:pPr>
    </w:p>
    <w:p w14:paraId="2300851D" w14:textId="77777777" w:rsidR="006C571B" w:rsidRDefault="006C571B" w:rsidP="006C571B">
      <w:pPr>
        <w:pStyle w:val="Titre4"/>
        <w:rPr>
          <w:b/>
        </w:rPr>
      </w:pPr>
      <w:r>
        <w:rPr>
          <w:b/>
        </w:rPr>
        <w:t>Effets indésirables de mécanisme inconnu</w:t>
      </w:r>
    </w:p>
    <w:p w14:paraId="65FF80E6" w14:textId="77777777" w:rsidR="006C571B" w:rsidRDefault="006C571B" w:rsidP="006C571B">
      <w:pPr>
        <w:numPr>
          <w:ilvl w:val="0"/>
          <w:numId w:val="2"/>
        </w:numPr>
        <w:ind w:left="1440"/>
      </w:pPr>
      <w:r>
        <w:t>Effets pouvant concerner tout un organe</w:t>
      </w:r>
    </w:p>
    <w:p w14:paraId="1600EFD1" w14:textId="79F2BB92" w:rsidR="006C571B" w:rsidRDefault="006C571B" w:rsidP="006C571B">
      <w:pPr>
        <w:numPr>
          <w:ilvl w:val="0"/>
          <w:numId w:val="2"/>
        </w:numPr>
        <w:ind w:left="1440"/>
      </w:pPr>
      <w:r>
        <w:t xml:space="preserve">Cas de </w:t>
      </w:r>
      <w:r w:rsidR="0039739C">
        <w:t>beaucoup</w:t>
      </w:r>
      <w:r>
        <w:t xml:space="preserve"> d’effets indésirables comme les hépatites, </w:t>
      </w:r>
      <w:r w:rsidR="0039739C">
        <w:t>les agranulocytoses</w:t>
      </w:r>
      <w:r>
        <w:t>, les tendinites, ... survenant avec des médicaments en principe sans effet sur le foie, les lignées sanguines, les tendons, ...</w:t>
      </w:r>
    </w:p>
    <w:p w14:paraId="3CFCECDC" w14:textId="77777777" w:rsidR="006C571B" w:rsidRDefault="006C571B" w:rsidP="006C571B">
      <w:pPr>
        <w:numPr>
          <w:ilvl w:val="0"/>
          <w:numId w:val="2"/>
        </w:numPr>
        <w:ind w:left="1440"/>
      </w:pPr>
      <w:r>
        <w:t>Mécanisme encore mal connu</w:t>
      </w:r>
    </w:p>
    <w:p w14:paraId="4E1775C9" w14:textId="77777777" w:rsidR="006C571B" w:rsidRDefault="006C571B" w:rsidP="006C571B">
      <w:pPr>
        <w:numPr>
          <w:ilvl w:val="0"/>
          <w:numId w:val="2"/>
        </w:numPr>
        <w:ind w:left="1440"/>
      </w:pPr>
      <w:r>
        <w:t>Exemples :</w:t>
      </w:r>
    </w:p>
    <w:p w14:paraId="750E6CE5" w14:textId="6445E979" w:rsidR="006C571B" w:rsidRDefault="006C571B" w:rsidP="006C571B">
      <w:pPr>
        <w:numPr>
          <w:ilvl w:val="1"/>
          <w:numId w:val="2"/>
        </w:numPr>
        <w:ind w:left="2160"/>
      </w:pPr>
      <w:r>
        <w:t xml:space="preserve">Tendinopathie avec </w:t>
      </w:r>
      <w:r w:rsidR="0039739C">
        <w:t>fluoroquinolone</w:t>
      </w:r>
      <w:r>
        <w:t>*</w:t>
      </w:r>
    </w:p>
    <w:p w14:paraId="457474F8" w14:textId="77777777" w:rsidR="006C571B" w:rsidRDefault="006C571B" w:rsidP="006C571B">
      <w:pPr>
        <w:numPr>
          <w:ilvl w:val="1"/>
          <w:numId w:val="2"/>
        </w:numPr>
        <w:ind w:left="2160"/>
      </w:pPr>
      <w:r>
        <w:t>Aplasie médullaire avec phénicolés, noramidopyrine</w:t>
      </w:r>
    </w:p>
    <w:p w14:paraId="1FB8179A" w14:textId="77777777" w:rsidR="006C571B" w:rsidRDefault="006C571B" w:rsidP="006C571B">
      <w:pPr>
        <w:numPr>
          <w:ilvl w:val="1"/>
          <w:numId w:val="2"/>
        </w:numPr>
        <w:ind w:left="2160"/>
      </w:pPr>
      <w:r>
        <w:t>...</w:t>
      </w:r>
    </w:p>
    <w:p w14:paraId="746E29B0" w14:textId="77777777" w:rsidR="006C571B" w:rsidRDefault="006C571B" w:rsidP="006C571B">
      <w:pPr>
        <w:numPr>
          <w:ilvl w:val="0"/>
          <w:numId w:val="2"/>
        </w:numPr>
        <w:ind w:left="1440"/>
      </w:pPr>
      <w:r>
        <w:t>Evénements ou notifications indépendantes de toute prise médicamenteuse :</w:t>
      </w:r>
    </w:p>
    <w:p w14:paraId="41422E5D" w14:textId="77777777" w:rsidR="006C571B" w:rsidRDefault="006C571B" w:rsidP="006C571B">
      <w:pPr>
        <w:numPr>
          <w:ilvl w:val="1"/>
          <w:numId w:val="2"/>
        </w:numPr>
        <w:ind w:left="2160"/>
      </w:pPr>
      <w:r>
        <w:t>Observation chez des volontaires sains à qui il a été injecté du placebo</w:t>
      </w:r>
    </w:p>
    <w:p w14:paraId="22F96F24" w14:textId="77777777" w:rsidR="006C571B" w:rsidRDefault="006C571B" w:rsidP="006C571B">
      <w:pPr>
        <w:numPr>
          <w:ilvl w:val="1"/>
          <w:numId w:val="2"/>
        </w:numPr>
        <w:ind w:left="2160"/>
      </w:pPr>
      <w:r>
        <w:t>Considérés comme “bruits de fond” à toute analyse des effets indésirables</w:t>
      </w:r>
    </w:p>
    <w:p w14:paraId="56298B3F" w14:textId="77777777" w:rsidR="006C571B" w:rsidRDefault="006C571B" w:rsidP="006C571B">
      <w:pPr>
        <w:numPr>
          <w:ilvl w:val="1"/>
          <w:numId w:val="2"/>
        </w:numPr>
        <w:ind w:left="2160"/>
      </w:pPr>
      <w:r>
        <w:rPr>
          <w:rFonts w:ascii="Segoe UI Symbol" w:hAnsi="Segoe UI Symbol" w:cs="Segoe UI Symbol"/>
        </w:rPr>
        <w:t>➡</w:t>
      </w:r>
      <w:r>
        <w:t xml:space="preserve"> difficulté d’établir un lien de causalité entre un traitement et un événement rapporté ou mesuré</w:t>
      </w:r>
    </w:p>
    <w:p w14:paraId="12CFE18E" w14:textId="77777777" w:rsidR="006C571B" w:rsidRDefault="006C571B" w:rsidP="006C571B">
      <w:pPr>
        <w:ind w:left="0" w:firstLine="0"/>
      </w:pPr>
    </w:p>
    <w:p w14:paraId="4C0CCD1E" w14:textId="77777777" w:rsidR="006C571B" w:rsidRDefault="006C571B" w:rsidP="006C571B">
      <w:pPr>
        <w:pStyle w:val="Titre3"/>
        <w:rPr>
          <w:b/>
        </w:rPr>
      </w:pPr>
      <w:bookmarkStart w:id="19" w:name="_Toc100607169"/>
      <w:r>
        <w:rPr>
          <w:b/>
        </w:rPr>
        <w:lastRenderedPageBreak/>
        <w:t>Effets indésirables de type C</w:t>
      </w:r>
      <w:bookmarkEnd w:id="19"/>
    </w:p>
    <w:p w14:paraId="2225CB25" w14:textId="77777777" w:rsidR="006C571B" w:rsidRDefault="006C571B" w:rsidP="006C571B">
      <w:pPr>
        <w:numPr>
          <w:ilvl w:val="0"/>
          <w:numId w:val="2"/>
        </w:numPr>
        <w:ind w:left="1440"/>
      </w:pPr>
      <w:r>
        <w:t xml:space="preserve">Effets indésirables “continuous” suite à une prolongée </w:t>
      </w:r>
    </w:p>
    <w:p w14:paraId="1EEF1CB7" w14:textId="77777777" w:rsidR="006C571B" w:rsidRDefault="006C571B" w:rsidP="006C571B">
      <w:pPr>
        <w:numPr>
          <w:ilvl w:val="0"/>
          <w:numId w:val="2"/>
        </w:numPr>
        <w:ind w:left="1440"/>
      </w:pPr>
      <w:r>
        <w:t>Apparition tardive liée à :</w:t>
      </w:r>
    </w:p>
    <w:p w14:paraId="562D5CE4" w14:textId="77777777" w:rsidR="006C571B" w:rsidRDefault="006C571B" w:rsidP="006C571B">
      <w:pPr>
        <w:numPr>
          <w:ilvl w:val="1"/>
          <w:numId w:val="2"/>
        </w:numPr>
        <w:ind w:left="2160"/>
      </w:pPr>
      <w:r>
        <w:t>Toxicité cumulative</w:t>
      </w:r>
    </w:p>
    <w:p w14:paraId="25516A73" w14:textId="77777777" w:rsidR="006C571B" w:rsidRDefault="006C571B" w:rsidP="006C571B">
      <w:pPr>
        <w:numPr>
          <w:ilvl w:val="1"/>
          <w:numId w:val="2"/>
        </w:numPr>
        <w:ind w:left="2160"/>
      </w:pPr>
      <w:r>
        <w:t>Accumulation insidieuse</w:t>
      </w:r>
    </w:p>
    <w:p w14:paraId="3F6D8C87" w14:textId="77777777" w:rsidR="006C571B" w:rsidRDefault="006C571B" w:rsidP="006C571B">
      <w:pPr>
        <w:numPr>
          <w:ilvl w:val="1"/>
          <w:numId w:val="2"/>
        </w:numPr>
        <w:ind w:left="2160"/>
      </w:pPr>
      <w:r>
        <w:t>Réactions mutagènes ou oncogènes</w:t>
      </w:r>
    </w:p>
    <w:p w14:paraId="7012D8C8" w14:textId="0D6BE57A" w:rsidR="0039739C" w:rsidRDefault="0039739C" w:rsidP="0039739C">
      <w:pPr>
        <w:numPr>
          <w:ilvl w:val="1"/>
          <w:numId w:val="2"/>
        </w:numPr>
        <w:ind w:left="1418"/>
      </w:pPr>
      <w:r>
        <w:t>Exemples :</w:t>
      </w:r>
    </w:p>
    <w:p w14:paraId="5259197E" w14:textId="1FB3E292" w:rsidR="0039739C" w:rsidRDefault="0039739C" w:rsidP="0039739C">
      <w:pPr>
        <w:numPr>
          <w:ilvl w:val="1"/>
          <w:numId w:val="2"/>
        </w:numPr>
        <w:ind w:left="2127"/>
      </w:pPr>
      <w:r>
        <w:t>Amiodarone : dépôts cornéens, pigmentation cutanée</w:t>
      </w:r>
    </w:p>
    <w:p w14:paraId="64385437" w14:textId="2115F9D7" w:rsidR="0039739C" w:rsidRDefault="0039739C" w:rsidP="0039739C">
      <w:pPr>
        <w:numPr>
          <w:ilvl w:val="1"/>
          <w:numId w:val="2"/>
        </w:numPr>
        <w:ind w:left="2127"/>
      </w:pPr>
      <w:r>
        <w:t>Cyclines : coloration brune des dents, fixations sur les tissus osseux en phase de croissance…</w:t>
      </w:r>
    </w:p>
    <w:p w14:paraId="68B4ED35" w14:textId="77777777" w:rsidR="006C571B" w:rsidRDefault="006C571B" w:rsidP="006C571B">
      <w:pPr>
        <w:ind w:left="0" w:firstLine="0"/>
      </w:pPr>
    </w:p>
    <w:p w14:paraId="7FFD061B" w14:textId="77777777" w:rsidR="006C571B" w:rsidRDefault="006C571B" w:rsidP="006C571B">
      <w:pPr>
        <w:pStyle w:val="Titre2"/>
        <w:rPr>
          <w:b/>
        </w:rPr>
      </w:pPr>
      <w:bookmarkStart w:id="20" w:name="_Toc100607170"/>
      <w:bookmarkStart w:id="21" w:name="_Toc100286851"/>
      <w:r>
        <w:rPr>
          <w:b/>
        </w:rPr>
        <w:t>FACTEURS FAVORISANT LES EFFETS INDESIRABLES</w:t>
      </w:r>
      <w:bookmarkEnd w:id="20"/>
      <w:bookmarkEnd w:id="21"/>
    </w:p>
    <w:p w14:paraId="28E043AE" w14:textId="77777777" w:rsidR="006C571B" w:rsidRDefault="006C571B" w:rsidP="006C571B">
      <w:pPr>
        <w:pStyle w:val="Titre3"/>
        <w:rPr>
          <w:b/>
        </w:rPr>
      </w:pPr>
      <w:bookmarkStart w:id="22" w:name="_Toc100607171"/>
      <w:r>
        <w:rPr>
          <w:b/>
        </w:rPr>
        <w:t>Facteurs liés au malade</w:t>
      </w:r>
      <w:bookmarkEnd w:id="22"/>
    </w:p>
    <w:p w14:paraId="3E912614" w14:textId="77777777" w:rsidR="006C571B" w:rsidRDefault="006C571B" w:rsidP="006C571B">
      <w:pPr>
        <w:pStyle w:val="Titre4"/>
        <w:rPr>
          <w:b/>
        </w:rPr>
      </w:pPr>
      <w:r>
        <w:rPr>
          <w:b/>
        </w:rPr>
        <w:t>Age</w:t>
      </w:r>
    </w:p>
    <w:p w14:paraId="616EAC20" w14:textId="77777777" w:rsidR="006C571B" w:rsidRDefault="006C571B" w:rsidP="006C571B">
      <w:pPr>
        <w:numPr>
          <w:ilvl w:val="0"/>
          <w:numId w:val="2"/>
        </w:numPr>
        <w:ind w:left="1440"/>
      </w:pPr>
      <w:r>
        <w:t>Chez les nouveaux nés :</w:t>
      </w:r>
    </w:p>
    <w:p w14:paraId="6DCE1FD0" w14:textId="77777777" w:rsidR="006C571B" w:rsidRDefault="006C571B" w:rsidP="006C571B">
      <w:pPr>
        <w:numPr>
          <w:ilvl w:val="1"/>
          <w:numId w:val="2"/>
        </w:numPr>
        <w:ind w:left="2160"/>
      </w:pPr>
      <w:r>
        <w:t>Mécanismes métaboliques encore incomplètement développés</w:t>
      </w:r>
    </w:p>
    <w:p w14:paraId="17A766C0" w14:textId="77777777" w:rsidR="006C571B" w:rsidRDefault="006C571B" w:rsidP="006C571B">
      <w:pPr>
        <w:numPr>
          <w:ilvl w:val="1"/>
          <w:numId w:val="2"/>
        </w:numPr>
        <w:ind w:left="2160"/>
      </w:pPr>
      <w:r>
        <w:t>Filtration glomérulaire et excrétion rénale limitées</w:t>
      </w:r>
      <w:r>
        <w:br/>
      </w:r>
    </w:p>
    <w:p w14:paraId="0C1D94B7" w14:textId="77777777" w:rsidR="006C571B" w:rsidRDefault="006C571B" w:rsidP="006C571B">
      <w:pPr>
        <w:numPr>
          <w:ilvl w:val="0"/>
          <w:numId w:val="2"/>
        </w:numPr>
        <w:ind w:left="1440"/>
      </w:pPr>
      <w:r>
        <w:t>Chez les personnes âgées :</w:t>
      </w:r>
    </w:p>
    <w:p w14:paraId="65DEF676" w14:textId="77777777" w:rsidR="006C571B" w:rsidRDefault="006C571B" w:rsidP="006C571B">
      <w:pPr>
        <w:numPr>
          <w:ilvl w:val="1"/>
          <w:numId w:val="2"/>
        </w:numPr>
        <w:ind w:left="2160"/>
      </w:pPr>
      <w:r>
        <w:t>Usure de l’organisme à la suite des maladies et du processus de vieillissement</w:t>
      </w:r>
    </w:p>
    <w:p w14:paraId="35A1FFBC" w14:textId="77777777" w:rsidR="006C571B" w:rsidRDefault="006C571B" w:rsidP="006C571B">
      <w:pPr>
        <w:numPr>
          <w:ilvl w:val="1"/>
          <w:numId w:val="2"/>
        </w:numPr>
        <w:ind w:left="2160"/>
      </w:pPr>
      <w:r>
        <w:t>Diminution de la masse tissulaire active</w:t>
      </w:r>
    </w:p>
    <w:p w14:paraId="22DC943C" w14:textId="77777777" w:rsidR="006C571B" w:rsidRDefault="006C571B" w:rsidP="006C571B">
      <w:pPr>
        <w:ind w:left="0" w:firstLine="0"/>
      </w:pPr>
    </w:p>
    <w:p w14:paraId="032F7979" w14:textId="77777777" w:rsidR="006C571B" w:rsidRDefault="006C571B" w:rsidP="006C571B">
      <w:pPr>
        <w:pStyle w:val="Titre4"/>
        <w:rPr>
          <w:b/>
        </w:rPr>
      </w:pPr>
      <w:r>
        <w:rPr>
          <w:b/>
        </w:rPr>
        <w:t>Grossesse</w:t>
      </w:r>
    </w:p>
    <w:p w14:paraId="4F53C8DC" w14:textId="471F92EA" w:rsidR="006C571B" w:rsidRDefault="00826E93" w:rsidP="006C571B">
      <w:pPr>
        <w:numPr>
          <w:ilvl w:val="0"/>
          <w:numId w:val="2"/>
        </w:numPr>
        <w:ind w:left="1440"/>
      </w:pPr>
      <w:r>
        <w:t xml:space="preserve">Envisager les </w:t>
      </w:r>
      <w:r w:rsidR="006C571B">
        <w:t>effet</w:t>
      </w:r>
      <w:r>
        <w:t>s indésirables</w:t>
      </w:r>
      <w:r w:rsidR="006C571B">
        <w:t xml:space="preserve"> sur :</w:t>
      </w:r>
    </w:p>
    <w:p w14:paraId="5C4D78B6" w14:textId="77777777" w:rsidR="006C571B" w:rsidRDefault="006C571B" w:rsidP="006C571B">
      <w:pPr>
        <w:numPr>
          <w:ilvl w:val="1"/>
          <w:numId w:val="2"/>
        </w:numPr>
        <w:ind w:left="2160"/>
      </w:pPr>
      <w:r>
        <w:t>La femme enceinte</w:t>
      </w:r>
    </w:p>
    <w:p w14:paraId="231CD854" w14:textId="44BD56BB" w:rsidR="006C571B" w:rsidRDefault="00826E93" w:rsidP="006C571B">
      <w:pPr>
        <w:numPr>
          <w:ilvl w:val="1"/>
          <w:numId w:val="2"/>
        </w:numPr>
        <w:ind w:left="2160"/>
      </w:pPr>
      <w:r>
        <w:t>Embryon / fœtus</w:t>
      </w:r>
      <w:r w:rsidR="006C571B">
        <w:br/>
      </w:r>
    </w:p>
    <w:p w14:paraId="24A3CBCF" w14:textId="77777777" w:rsidR="006C571B" w:rsidRDefault="006C571B" w:rsidP="006C571B">
      <w:pPr>
        <w:numPr>
          <w:ilvl w:val="0"/>
          <w:numId w:val="2"/>
        </w:numPr>
        <w:ind w:left="1440"/>
      </w:pPr>
      <w:r>
        <w:lastRenderedPageBreak/>
        <w:t xml:space="preserve">Conseiller et recommander toujours la restriction de prescription bien que pas de preuves d’une influence adverse pour la majorité des médicaments </w:t>
      </w:r>
    </w:p>
    <w:p w14:paraId="3ACE8E01" w14:textId="77777777" w:rsidR="006C571B" w:rsidRDefault="006C571B" w:rsidP="006C571B">
      <w:pPr>
        <w:ind w:left="0" w:firstLine="0"/>
      </w:pPr>
    </w:p>
    <w:p w14:paraId="212A92FC" w14:textId="77777777" w:rsidR="006C571B" w:rsidRDefault="006C571B" w:rsidP="006C571B">
      <w:pPr>
        <w:pStyle w:val="Titre4"/>
        <w:rPr>
          <w:b/>
        </w:rPr>
      </w:pPr>
      <w:r>
        <w:rPr>
          <w:b/>
        </w:rPr>
        <w:t>Maladies</w:t>
      </w:r>
    </w:p>
    <w:p w14:paraId="7955801F" w14:textId="77777777" w:rsidR="006C571B" w:rsidRDefault="006C571B" w:rsidP="006C571B">
      <w:pPr>
        <w:numPr>
          <w:ilvl w:val="0"/>
          <w:numId w:val="2"/>
        </w:numPr>
        <w:ind w:left="1440"/>
      </w:pPr>
      <w:r>
        <w:t>Affections nombreuses entrainant une modification de la réactivité de l’organisme aux médicaments, plus particulièrement les affections des reins et du foie avec perturbations de l’élimination du métabolisme</w:t>
      </w:r>
    </w:p>
    <w:p w14:paraId="60211667" w14:textId="092737A9" w:rsidR="006C571B" w:rsidRDefault="006C571B" w:rsidP="006C571B">
      <w:pPr>
        <w:numPr>
          <w:ilvl w:val="0"/>
          <w:numId w:val="2"/>
        </w:numPr>
        <w:ind w:left="1440"/>
      </w:pPr>
      <w:r>
        <w:t xml:space="preserve">Risque </w:t>
      </w:r>
      <w:r w:rsidR="00826E93">
        <w:t>parallèle</w:t>
      </w:r>
      <w:r>
        <w:t xml:space="preserve"> de </w:t>
      </w:r>
      <w:r w:rsidR="00826E93">
        <w:t>dégradation</w:t>
      </w:r>
      <w:r>
        <w:t xml:space="preserve"> plus grave encore du fonctionnement de ces organes sous l’effet du traitement</w:t>
      </w:r>
    </w:p>
    <w:p w14:paraId="7065520B" w14:textId="77777777" w:rsidR="006C571B" w:rsidRDefault="006C571B" w:rsidP="006C571B">
      <w:pPr>
        <w:ind w:left="0" w:firstLine="0"/>
      </w:pPr>
    </w:p>
    <w:p w14:paraId="7A096E06" w14:textId="77777777" w:rsidR="006C571B" w:rsidRDefault="006C571B" w:rsidP="006C571B">
      <w:pPr>
        <w:pStyle w:val="Titre4"/>
        <w:rPr>
          <w:b/>
        </w:rPr>
      </w:pPr>
      <w:r>
        <w:rPr>
          <w:b/>
        </w:rPr>
        <w:t>Facteurs génétiques</w:t>
      </w:r>
    </w:p>
    <w:p w14:paraId="56CECA19" w14:textId="77777777" w:rsidR="006C571B" w:rsidRDefault="006C571B" w:rsidP="006C571B">
      <w:pPr>
        <w:numPr>
          <w:ilvl w:val="0"/>
          <w:numId w:val="2"/>
        </w:numPr>
        <w:ind w:left="1440"/>
      </w:pPr>
      <w:r>
        <w:t>Anomalies enzymatiques d’origine génétique : explication de plusieurs réactions indésirables dues aux médicaments (idiosyncrasie)</w:t>
      </w:r>
    </w:p>
    <w:p w14:paraId="562C0CE7" w14:textId="77777777" w:rsidR="006C571B" w:rsidRDefault="006C571B" w:rsidP="006C571B">
      <w:pPr>
        <w:ind w:left="0" w:firstLine="0"/>
      </w:pPr>
    </w:p>
    <w:p w14:paraId="72F7E25D" w14:textId="77777777" w:rsidR="006C571B" w:rsidRDefault="006C571B" w:rsidP="006C571B">
      <w:pPr>
        <w:pStyle w:val="Titre4"/>
        <w:rPr>
          <w:b/>
        </w:rPr>
      </w:pPr>
      <w:r>
        <w:rPr>
          <w:b/>
        </w:rPr>
        <w:t>Etat de nutrition</w:t>
      </w:r>
    </w:p>
    <w:p w14:paraId="2AB411EE" w14:textId="77777777" w:rsidR="006C571B" w:rsidRDefault="006C571B" w:rsidP="006C571B">
      <w:pPr>
        <w:numPr>
          <w:ilvl w:val="0"/>
          <w:numId w:val="2"/>
        </w:numPr>
        <w:ind w:left="1440"/>
      </w:pPr>
      <w:r>
        <w:t>Individus dénutris : plus sensibles aux médicaments</w:t>
      </w:r>
    </w:p>
    <w:p w14:paraId="5920B2F2" w14:textId="77777777" w:rsidR="006C571B" w:rsidRDefault="006C571B" w:rsidP="006C571B">
      <w:pPr>
        <w:numPr>
          <w:ilvl w:val="0"/>
          <w:numId w:val="2"/>
        </w:numPr>
        <w:ind w:left="1440"/>
      </w:pPr>
      <w:r>
        <w:t>Hypoalbuminémie :</w:t>
      </w:r>
    </w:p>
    <w:p w14:paraId="567DE5CC" w14:textId="77777777" w:rsidR="006C571B" w:rsidRDefault="006C571B" w:rsidP="006C571B">
      <w:pPr>
        <w:numPr>
          <w:ilvl w:val="1"/>
          <w:numId w:val="2"/>
        </w:numPr>
        <w:ind w:left="2160"/>
      </w:pPr>
      <w:r>
        <w:t>Entrainant une diminution de la proportion des médicaments liée aux protéines</w:t>
      </w:r>
    </w:p>
    <w:p w14:paraId="36E5B4ED" w14:textId="77777777" w:rsidR="006C571B" w:rsidRDefault="006C571B" w:rsidP="006C571B">
      <w:pPr>
        <w:numPr>
          <w:ilvl w:val="1"/>
          <w:numId w:val="2"/>
        </w:numPr>
        <w:ind w:left="2160"/>
      </w:pPr>
      <w:r>
        <w:t>Et une augmentation de la fraction libre</w:t>
      </w:r>
      <w:r>
        <w:br/>
      </w:r>
    </w:p>
    <w:p w14:paraId="255ABE91" w14:textId="77777777" w:rsidR="006C571B" w:rsidRDefault="006C571B" w:rsidP="006C571B">
      <w:pPr>
        <w:numPr>
          <w:ilvl w:val="0"/>
          <w:numId w:val="2"/>
        </w:numPr>
        <w:ind w:left="1440"/>
      </w:pPr>
      <w:r>
        <w:t>Malnutrition :</w:t>
      </w:r>
    </w:p>
    <w:p w14:paraId="254D8BAE" w14:textId="77777777" w:rsidR="006C571B" w:rsidRDefault="006C571B" w:rsidP="006C571B">
      <w:pPr>
        <w:numPr>
          <w:ilvl w:val="1"/>
          <w:numId w:val="2"/>
        </w:numPr>
        <w:ind w:left="2160"/>
      </w:pPr>
      <w:r>
        <w:t>Diminution d’apport de vitamines (précurseurs de coenzymes)</w:t>
      </w:r>
    </w:p>
    <w:p w14:paraId="2AF4653C" w14:textId="77777777" w:rsidR="006C571B" w:rsidRDefault="006C571B" w:rsidP="006C571B">
      <w:pPr>
        <w:numPr>
          <w:ilvl w:val="1"/>
          <w:numId w:val="2"/>
        </w:numPr>
        <w:ind w:left="2160"/>
      </w:pPr>
      <w:r>
        <w:t>Diminution de coenzymes</w:t>
      </w:r>
    </w:p>
    <w:p w14:paraId="7CDC6C29" w14:textId="77777777" w:rsidR="006C571B" w:rsidRDefault="006C571B" w:rsidP="006C571B">
      <w:pPr>
        <w:numPr>
          <w:ilvl w:val="1"/>
          <w:numId w:val="2"/>
        </w:numPr>
        <w:ind w:left="2160"/>
      </w:pPr>
      <w:r>
        <w:t>...</w:t>
      </w:r>
    </w:p>
    <w:p w14:paraId="2F2E5808" w14:textId="77777777" w:rsidR="006C571B" w:rsidRDefault="006C571B" w:rsidP="006C571B">
      <w:pPr>
        <w:ind w:left="0" w:firstLine="0"/>
      </w:pPr>
    </w:p>
    <w:p w14:paraId="1FF3FD8E" w14:textId="77777777" w:rsidR="006C571B" w:rsidRDefault="006C571B" w:rsidP="006C571B">
      <w:pPr>
        <w:pStyle w:val="Titre3"/>
        <w:rPr>
          <w:b/>
        </w:rPr>
      </w:pPr>
      <w:bookmarkStart w:id="23" w:name="_Toc100607172"/>
      <w:r>
        <w:rPr>
          <w:b/>
        </w:rPr>
        <w:t>Facteurs relatifs à l’environnement</w:t>
      </w:r>
      <w:bookmarkEnd w:id="23"/>
    </w:p>
    <w:p w14:paraId="6E52F179" w14:textId="55F32C8F" w:rsidR="006C571B" w:rsidRDefault="00826E93" w:rsidP="006C571B">
      <w:pPr>
        <w:numPr>
          <w:ilvl w:val="0"/>
          <w:numId w:val="2"/>
        </w:numPr>
        <w:ind w:left="1440"/>
      </w:pPr>
      <w:r>
        <w:t>Rôle du biotope</w:t>
      </w:r>
      <w:r w:rsidR="006C571B">
        <w:t xml:space="preserve"> dans le problème des</w:t>
      </w:r>
      <w:r>
        <w:t xml:space="preserve"> effets indésirables en cours d’étude</w:t>
      </w:r>
    </w:p>
    <w:p w14:paraId="7F069455" w14:textId="507C682F" w:rsidR="006C571B" w:rsidRDefault="00826E93" w:rsidP="006C571B">
      <w:pPr>
        <w:numPr>
          <w:ilvl w:val="0"/>
          <w:numId w:val="2"/>
        </w:numPr>
        <w:ind w:left="1440"/>
      </w:pPr>
      <w:r>
        <w:t>Présence de molécules diverses : polluants industriels, éléments chimiques, molécules organiques</w:t>
      </w:r>
    </w:p>
    <w:p w14:paraId="3A7577F1" w14:textId="77777777" w:rsidR="006C571B" w:rsidRDefault="006C571B" w:rsidP="006C571B">
      <w:pPr>
        <w:numPr>
          <w:ilvl w:val="0"/>
          <w:numId w:val="2"/>
        </w:numPr>
        <w:ind w:left="1440"/>
      </w:pPr>
      <w:r>
        <w:lastRenderedPageBreak/>
        <w:t>...</w:t>
      </w:r>
    </w:p>
    <w:p w14:paraId="47872427" w14:textId="77777777" w:rsidR="006C571B" w:rsidRDefault="006C571B" w:rsidP="006C571B">
      <w:pPr>
        <w:ind w:left="0" w:firstLine="0"/>
      </w:pPr>
    </w:p>
    <w:p w14:paraId="2682D093" w14:textId="77777777" w:rsidR="006C571B" w:rsidRDefault="006C571B" w:rsidP="006C571B">
      <w:pPr>
        <w:pStyle w:val="Titre3"/>
        <w:rPr>
          <w:b/>
        </w:rPr>
      </w:pPr>
      <w:bookmarkStart w:id="24" w:name="_Toc100607173"/>
      <w:r>
        <w:rPr>
          <w:b/>
        </w:rPr>
        <w:t>Facteurs relatifs aux procédés thérapeutiques</w:t>
      </w:r>
      <w:bookmarkEnd w:id="24"/>
    </w:p>
    <w:p w14:paraId="03885A2B" w14:textId="77777777" w:rsidR="006C571B" w:rsidRDefault="006C571B" w:rsidP="006C571B">
      <w:pPr>
        <w:numPr>
          <w:ilvl w:val="0"/>
          <w:numId w:val="2"/>
        </w:numPr>
        <w:ind w:left="1440"/>
      </w:pPr>
      <w:r>
        <w:t>Interactions médicamenteuses :</w:t>
      </w:r>
    </w:p>
    <w:p w14:paraId="20F7D108" w14:textId="77777777" w:rsidR="006C571B" w:rsidRDefault="006C571B" w:rsidP="006C571B">
      <w:pPr>
        <w:numPr>
          <w:ilvl w:val="1"/>
          <w:numId w:val="2"/>
        </w:numPr>
        <w:ind w:left="2160"/>
      </w:pPr>
      <w:r>
        <w:t>Fréquence des effets indésirables : accroissement en proportion géométrique avec l’augmentation arithmétique du nombre de médicaments administrés</w:t>
      </w:r>
    </w:p>
    <w:p w14:paraId="5E1AD63A" w14:textId="6806E772" w:rsidR="006C571B" w:rsidRDefault="006C571B" w:rsidP="006C571B">
      <w:pPr>
        <w:numPr>
          <w:ilvl w:val="1"/>
          <w:numId w:val="2"/>
        </w:numPr>
        <w:ind w:left="2160"/>
      </w:pPr>
      <w:r>
        <w:t xml:space="preserve">Phénomène retrouvé en cas d’automédication, </w:t>
      </w:r>
      <w:r w:rsidR="00826E93">
        <w:t xml:space="preserve">superposition de la prescription d’un </w:t>
      </w:r>
      <w:r w:rsidR="008A77A7">
        <w:t>médecin à celle d’autre médecin, prise de potion traditionnelle</w:t>
      </w:r>
      <w:r>
        <w:t>.</w:t>
      </w:r>
    </w:p>
    <w:p w14:paraId="4699635C" w14:textId="5DAA73CC" w:rsidR="006C571B" w:rsidRPr="008A77A7" w:rsidRDefault="008A77A7" w:rsidP="008A77A7">
      <w:pPr>
        <w:pStyle w:val="Niveau2Titre3"/>
        <w:ind w:left="709"/>
        <w:rPr>
          <w:rFonts w:asciiTheme="majorHAnsi" w:hAnsiTheme="majorHAnsi" w:cstheme="majorHAnsi"/>
          <w:b/>
          <w:color w:val="1F4E79" w:themeColor="accent1" w:themeShade="80"/>
          <w:sz w:val="28"/>
          <w:szCs w:val="28"/>
          <w:u w:val="single"/>
        </w:rPr>
      </w:pPr>
      <w:r w:rsidRPr="008A77A7">
        <w:rPr>
          <w:rFonts w:asciiTheme="majorHAnsi" w:hAnsiTheme="majorHAnsi" w:cstheme="majorHAnsi"/>
          <w:b/>
          <w:color w:val="1F4E79" w:themeColor="accent1" w:themeShade="80"/>
          <w:sz w:val="28"/>
          <w:szCs w:val="28"/>
          <w:u w:val="single"/>
        </w:rPr>
        <w:t>Facteur liés aux personnels de santé :</w:t>
      </w:r>
    </w:p>
    <w:p w14:paraId="6F29484D" w14:textId="2931A274" w:rsidR="008A77A7" w:rsidRDefault="008A77A7" w:rsidP="008A77A7">
      <w:pPr>
        <w:pStyle w:val="Niveau2Titre3"/>
        <w:numPr>
          <w:ilvl w:val="0"/>
          <w:numId w:val="4"/>
        </w:numPr>
      </w:pPr>
      <w:r>
        <w:t>Présentation : apparence d’une personne (habillement, manières …)</w:t>
      </w:r>
    </w:p>
    <w:p w14:paraId="007BD1F0" w14:textId="77C081EF" w:rsidR="008A77A7" w:rsidRDefault="008A77A7" w:rsidP="008A77A7">
      <w:pPr>
        <w:pStyle w:val="Niveau2Titre3"/>
        <w:numPr>
          <w:ilvl w:val="0"/>
          <w:numId w:val="4"/>
        </w:numPr>
      </w:pPr>
      <w:r>
        <w:t>Attitude : manière de tenir son corp</w:t>
      </w:r>
      <w:bookmarkStart w:id="25" w:name="_GoBack"/>
      <w:bookmarkEnd w:id="25"/>
      <w:r>
        <w:t>s, manière d’être</w:t>
      </w:r>
    </w:p>
    <w:p w14:paraId="5A1BCE27" w14:textId="1D549D2E" w:rsidR="008A77A7" w:rsidRDefault="008A77A7" w:rsidP="008A77A7">
      <w:pPr>
        <w:pStyle w:val="Niveau2Titre3"/>
        <w:numPr>
          <w:ilvl w:val="0"/>
          <w:numId w:val="4"/>
        </w:numPr>
      </w:pPr>
      <w:r>
        <w:t>Comportement : manière de se comporter, ensemble des réactions objectivement observables d’un individu</w:t>
      </w:r>
    </w:p>
    <w:p w14:paraId="3B6CD194" w14:textId="77777777" w:rsidR="006C571B" w:rsidRDefault="006C571B" w:rsidP="006C571B">
      <w:pPr>
        <w:pStyle w:val="Titre2"/>
        <w:rPr>
          <w:b/>
        </w:rPr>
      </w:pPr>
      <w:bookmarkStart w:id="26" w:name="_Toc100607175"/>
      <w:bookmarkStart w:id="27" w:name="_Toc100286853"/>
      <w:r>
        <w:rPr>
          <w:b/>
        </w:rPr>
        <w:t>INTERETS DE L’ETUDE DES EFFETS INDESIRABLES</w:t>
      </w:r>
      <w:bookmarkEnd w:id="26"/>
      <w:bookmarkEnd w:id="27"/>
    </w:p>
    <w:p w14:paraId="58B0ECF6" w14:textId="77777777" w:rsidR="006C571B" w:rsidRDefault="006C571B" w:rsidP="006C571B">
      <w:pPr>
        <w:numPr>
          <w:ilvl w:val="0"/>
          <w:numId w:val="2"/>
        </w:numPr>
        <w:ind w:left="1440"/>
      </w:pPr>
      <w:r>
        <w:t>Données sur effets (”désirables ou indésirables”) disponibles au moment de l’AMM du médicament</w:t>
      </w:r>
    </w:p>
    <w:p w14:paraId="167F7D2D" w14:textId="77777777" w:rsidR="006C571B" w:rsidRDefault="006C571B" w:rsidP="006C571B">
      <w:pPr>
        <w:numPr>
          <w:ilvl w:val="0"/>
          <w:numId w:val="2"/>
        </w:numPr>
        <w:ind w:left="1440"/>
      </w:pPr>
      <w:r>
        <w:t>Informations à compléter au fur et à mesure de l’utilisation large du médicament par la population</w:t>
      </w:r>
    </w:p>
    <w:p w14:paraId="33F1D8BA" w14:textId="77777777" w:rsidR="006C571B" w:rsidRDefault="006C571B" w:rsidP="006C571B">
      <w:pPr>
        <w:numPr>
          <w:ilvl w:val="0"/>
          <w:numId w:val="2"/>
        </w:numPr>
        <w:ind w:left="1440"/>
      </w:pPr>
      <w:r>
        <w:t>Intérêts :</w:t>
      </w:r>
    </w:p>
    <w:p w14:paraId="601425F2" w14:textId="77777777" w:rsidR="006C571B" w:rsidRDefault="006C571B" w:rsidP="006C571B">
      <w:pPr>
        <w:numPr>
          <w:ilvl w:val="1"/>
          <w:numId w:val="2"/>
        </w:numPr>
        <w:ind w:left="2160"/>
      </w:pPr>
      <w:r>
        <w:t>Pharmacovigilance (surveillance EI avec utilisation large)</w:t>
      </w:r>
    </w:p>
    <w:p w14:paraId="00008E9C" w14:textId="77777777" w:rsidR="006C571B" w:rsidRDefault="006C571B" w:rsidP="006C571B">
      <w:pPr>
        <w:numPr>
          <w:ilvl w:val="1"/>
          <w:numId w:val="2"/>
        </w:numPr>
        <w:ind w:left="2160"/>
      </w:pPr>
      <w:r>
        <w:t>informations des médecins</w:t>
      </w:r>
    </w:p>
    <w:p w14:paraId="306B940C" w14:textId="77777777" w:rsidR="006C571B" w:rsidRDefault="006C571B" w:rsidP="006C571B">
      <w:pPr>
        <w:numPr>
          <w:ilvl w:val="1"/>
          <w:numId w:val="2"/>
        </w:numPr>
        <w:ind w:left="2160"/>
      </w:pPr>
      <w:r>
        <w:t>Informations des malades</w:t>
      </w:r>
    </w:p>
    <w:p w14:paraId="2A1B4BA1" w14:textId="77777777" w:rsidR="006C571B" w:rsidRDefault="006C571B" w:rsidP="006C571B">
      <w:pPr>
        <w:numPr>
          <w:ilvl w:val="1"/>
          <w:numId w:val="2"/>
        </w:numPr>
        <w:ind w:left="2160"/>
      </w:pPr>
      <w:r>
        <w:t>Précision sur les mécanismes par le pharmacologue</w:t>
      </w:r>
    </w:p>
    <w:p w14:paraId="74313AC0" w14:textId="77777777" w:rsidR="006C571B" w:rsidRDefault="006C571B" w:rsidP="006C571B">
      <w:pPr>
        <w:numPr>
          <w:ilvl w:val="1"/>
          <w:numId w:val="2"/>
        </w:numPr>
        <w:ind w:left="2160"/>
      </w:pPr>
      <w:r>
        <w:t>Amélioration du médicament par les firmes pharmaceutiques</w:t>
      </w:r>
    </w:p>
    <w:p w14:paraId="1FA7BABC" w14:textId="77777777" w:rsidR="006C571B" w:rsidRDefault="006C571B" w:rsidP="006C571B">
      <w:pPr>
        <w:ind w:left="0" w:firstLine="0"/>
      </w:pPr>
    </w:p>
    <w:p w14:paraId="00B36FD4" w14:textId="77777777" w:rsidR="006C571B" w:rsidRDefault="006C571B" w:rsidP="006C571B">
      <w:pPr>
        <w:pStyle w:val="Titre2"/>
        <w:rPr>
          <w:b/>
        </w:rPr>
      </w:pPr>
      <w:bookmarkStart w:id="28" w:name="_Toc100607176"/>
      <w:bookmarkStart w:id="29" w:name="_Toc100286854"/>
      <w:r>
        <w:rPr>
          <w:b/>
        </w:rPr>
        <w:t>CONCLUSION</w:t>
      </w:r>
      <w:bookmarkEnd w:id="28"/>
      <w:bookmarkEnd w:id="29"/>
    </w:p>
    <w:p w14:paraId="7ED5CDF6" w14:textId="77777777" w:rsidR="006C571B" w:rsidRDefault="006C571B" w:rsidP="006C571B">
      <w:pPr>
        <w:numPr>
          <w:ilvl w:val="0"/>
          <w:numId w:val="2"/>
        </w:numPr>
        <w:ind w:left="1440"/>
      </w:pPr>
      <w:r>
        <w:t>Le médecin a l’obligation de :</w:t>
      </w:r>
    </w:p>
    <w:p w14:paraId="6B4B4E2D" w14:textId="77777777" w:rsidR="006C571B" w:rsidRDefault="006C571B" w:rsidP="006C571B">
      <w:pPr>
        <w:numPr>
          <w:ilvl w:val="1"/>
          <w:numId w:val="2"/>
        </w:numPr>
        <w:ind w:left="2160"/>
      </w:pPr>
      <w:r>
        <w:t>Évaluer avant de prescrire un médicament à un malade le rapport bénéfice-risque</w:t>
      </w:r>
    </w:p>
    <w:p w14:paraId="43030ACF" w14:textId="77777777" w:rsidR="006C571B" w:rsidRDefault="006C571B" w:rsidP="006C571B">
      <w:pPr>
        <w:numPr>
          <w:ilvl w:val="1"/>
          <w:numId w:val="2"/>
        </w:numPr>
        <w:ind w:left="2160"/>
      </w:pPr>
      <w:r>
        <w:lastRenderedPageBreak/>
        <w:t>Bien s’informer sur :</w:t>
      </w:r>
    </w:p>
    <w:p w14:paraId="66C287C8" w14:textId="77777777" w:rsidR="006C571B" w:rsidRDefault="006C571B" w:rsidP="006C571B">
      <w:pPr>
        <w:numPr>
          <w:ilvl w:val="2"/>
          <w:numId w:val="2"/>
        </w:numPr>
        <w:ind w:left="2880"/>
      </w:pPr>
      <w:r>
        <w:t>La dénomination commune internationale et la dénomination commerciale des médicaments</w:t>
      </w:r>
    </w:p>
    <w:p w14:paraId="4FDFE2AA" w14:textId="77777777" w:rsidR="006C571B" w:rsidRDefault="006C571B" w:rsidP="006C571B">
      <w:pPr>
        <w:numPr>
          <w:ilvl w:val="2"/>
          <w:numId w:val="2"/>
        </w:numPr>
        <w:ind w:left="2880"/>
      </w:pPr>
      <w:r>
        <w:t>Présentation galénique des médicaments</w:t>
      </w:r>
    </w:p>
    <w:p w14:paraId="5B0779E2" w14:textId="77777777" w:rsidR="006C571B" w:rsidRDefault="006C571B" w:rsidP="006C571B">
      <w:pPr>
        <w:numPr>
          <w:ilvl w:val="2"/>
          <w:numId w:val="2"/>
        </w:numPr>
        <w:ind w:left="2880"/>
      </w:pPr>
      <w:r>
        <w:t>Pharmacocinétique des médicaments</w:t>
      </w:r>
    </w:p>
    <w:p w14:paraId="48DBC30B" w14:textId="77777777" w:rsidR="006C571B" w:rsidRDefault="006C571B" w:rsidP="006C571B">
      <w:pPr>
        <w:numPr>
          <w:ilvl w:val="2"/>
          <w:numId w:val="2"/>
        </w:numPr>
        <w:ind w:left="2880"/>
      </w:pPr>
      <w:r>
        <w:t>Facteurs qui peuvent favoriser les effets indésirables</w:t>
      </w:r>
    </w:p>
    <w:p w14:paraId="31D66513" w14:textId="77777777" w:rsidR="006C571B" w:rsidRDefault="006C571B" w:rsidP="006C571B">
      <w:pPr>
        <w:numPr>
          <w:ilvl w:val="2"/>
          <w:numId w:val="2"/>
        </w:numPr>
        <w:ind w:left="2880"/>
      </w:pPr>
      <w:r>
        <w:t>Effets indésirables déjà identifiés pour certains médicaments</w:t>
      </w:r>
    </w:p>
    <w:p w14:paraId="08F048D9" w14:textId="77777777" w:rsidR="006C571B" w:rsidRDefault="006C571B" w:rsidP="006C571B">
      <w:pPr>
        <w:numPr>
          <w:ilvl w:val="2"/>
          <w:numId w:val="2"/>
        </w:numPr>
        <w:ind w:left="2880"/>
      </w:pPr>
      <w:r>
        <w:t>Participer au réseau de pharmacovigilance</w:t>
      </w:r>
    </w:p>
    <w:p w14:paraId="05275021" w14:textId="77777777" w:rsidR="00A61BBB" w:rsidRDefault="00A61BBB"/>
    <w:sectPr w:rsidR="00A61B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FB68AA"/>
    <w:multiLevelType w:val="multilevel"/>
    <w:tmpl w:val="55343AA0"/>
    <w:numStyleLink w:val="ListeNyA"/>
  </w:abstractNum>
  <w:abstractNum w:abstractNumId="1" w15:restartNumberingAfterBreak="0">
    <w:nsid w:val="400963AC"/>
    <w:multiLevelType w:val="hybridMultilevel"/>
    <w:tmpl w:val="F270526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3681573"/>
    <w:multiLevelType w:val="hybridMultilevel"/>
    <w:tmpl w:val="0BAC35B2"/>
    <w:lvl w:ilvl="0" w:tplc="54967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0499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6C6A6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8630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94B4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046A7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90EC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5251C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E0458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0C03C1"/>
    <w:multiLevelType w:val="multilevel"/>
    <w:tmpl w:val="55343AA0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cs="Times New Roman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/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094"/>
    <w:rsid w:val="00087FDE"/>
    <w:rsid w:val="000E5F54"/>
    <w:rsid w:val="0017431E"/>
    <w:rsid w:val="0039739C"/>
    <w:rsid w:val="006903C6"/>
    <w:rsid w:val="006C571B"/>
    <w:rsid w:val="006F1987"/>
    <w:rsid w:val="00826E93"/>
    <w:rsid w:val="008A77A7"/>
    <w:rsid w:val="0091286F"/>
    <w:rsid w:val="00A61BBB"/>
    <w:rsid w:val="00B91469"/>
    <w:rsid w:val="00C162AE"/>
    <w:rsid w:val="00C7067C"/>
    <w:rsid w:val="00D34A8E"/>
    <w:rsid w:val="00D933CE"/>
    <w:rsid w:val="00E84094"/>
    <w:rsid w:val="00F1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FC163"/>
  <w15:chartTrackingRefBased/>
  <w15:docId w15:val="{F0BFC38E-735C-474E-B52E-6F326764A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571B"/>
    <w:pPr>
      <w:spacing w:line="276" w:lineRule="auto"/>
      <w:ind w:left="720" w:hanging="360"/>
    </w:pPr>
    <w:rPr>
      <w:rFonts w:ascii="Arial" w:hAnsi="Arial"/>
      <w:color w:val="000000" w:themeColor="text1"/>
      <w:sz w:val="24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semiHidden/>
    <w:unhideWhenUsed/>
    <w:qFormat/>
    <w:rsid w:val="006C571B"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color w:val="5B9BD5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semiHidden/>
    <w:unhideWhenUsed/>
    <w:qFormat/>
    <w:rsid w:val="006C571B"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color w:val="1F4E79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semiHidden/>
    <w:unhideWhenUsed/>
    <w:qFormat/>
    <w:rsid w:val="006C571B"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iCs/>
      <w:color w:val="2E74B5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semiHidden/>
    <w:unhideWhenUsed/>
    <w:qFormat/>
    <w:rsid w:val="006C571B"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color w:val="4472C4" w:themeColor="accent5"/>
      <w:sz w:val="26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aliases w:val="Niveau 1 Car"/>
    <w:basedOn w:val="Policepardfaut"/>
    <w:link w:val="Titre2"/>
    <w:uiPriority w:val="9"/>
    <w:semiHidden/>
    <w:rsid w:val="006C571B"/>
    <w:rPr>
      <w:rFonts w:ascii="Calibri Light" w:eastAsiaTheme="majorEastAsia" w:hAnsi="Calibri Light" w:cstheme="majorBidi"/>
      <w:color w:val="5B9BD5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semiHidden/>
    <w:rsid w:val="006C571B"/>
    <w:rPr>
      <w:rFonts w:ascii="Calibri Light" w:eastAsiaTheme="majorEastAsia" w:hAnsi="Calibri Light" w:cstheme="majorBidi"/>
      <w:color w:val="1F4E79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semiHidden/>
    <w:rsid w:val="006C571B"/>
    <w:rPr>
      <w:rFonts w:ascii="Calibri Light" w:eastAsiaTheme="majorEastAsia" w:hAnsi="Calibri Light" w:cstheme="majorBidi"/>
      <w:iCs/>
      <w:color w:val="2E74B5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semiHidden/>
    <w:rsid w:val="006C571B"/>
    <w:rPr>
      <w:rFonts w:ascii="Calibri Light" w:eastAsiaTheme="majorEastAsia" w:hAnsi="Calibri Light" w:cstheme="majorBidi"/>
      <w:color w:val="4472C4" w:themeColor="accent5"/>
      <w:sz w:val="26"/>
      <w:u w:val="single"/>
    </w:rPr>
  </w:style>
  <w:style w:type="paragraph" w:customStyle="1" w:styleId="GrandtitreTitre">
    <w:name w:val="Grand titre  (Titre)"/>
    <w:basedOn w:val="Normal"/>
    <w:uiPriority w:val="99"/>
    <w:rsid w:val="006C571B"/>
    <w:pPr>
      <w:numPr>
        <w:numId w:val="1"/>
      </w:numPr>
    </w:pPr>
  </w:style>
  <w:style w:type="paragraph" w:customStyle="1" w:styleId="Niveau1Titre2">
    <w:name w:val="Niveau 1  (Titre 2)"/>
    <w:basedOn w:val="Normal"/>
    <w:uiPriority w:val="99"/>
    <w:rsid w:val="006C571B"/>
    <w:pPr>
      <w:numPr>
        <w:ilvl w:val="1"/>
        <w:numId w:val="1"/>
      </w:numPr>
    </w:pPr>
  </w:style>
  <w:style w:type="paragraph" w:customStyle="1" w:styleId="Niveau2Titre3">
    <w:name w:val="Niveau 2  (Titre 3)"/>
    <w:basedOn w:val="Normal"/>
    <w:uiPriority w:val="99"/>
    <w:rsid w:val="006C571B"/>
    <w:pPr>
      <w:numPr>
        <w:ilvl w:val="2"/>
        <w:numId w:val="1"/>
      </w:numPr>
    </w:pPr>
  </w:style>
  <w:style w:type="paragraph" w:customStyle="1" w:styleId="Niveau3Titre4">
    <w:name w:val="Niveau 3  (Titre 4)"/>
    <w:basedOn w:val="Normal"/>
    <w:uiPriority w:val="99"/>
    <w:rsid w:val="006C571B"/>
    <w:pPr>
      <w:numPr>
        <w:ilvl w:val="3"/>
        <w:numId w:val="1"/>
      </w:numPr>
    </w:pPr>
  </w:style>
  <w:style w:type="paragraph" w:customStyle="1" w:styleId="Niveau4Titre5">
    <w:name w:val="Niveau 4  (Titre 5)"/>
    <w:basedOn w:val="Normal"/>
    <w:uiPriority w:val="99"/>
    <w:rsid w:val="006C571B"/>
    <w:pPr>
      <w:numPr>
        <w:ilvl w:val="4"/>
        <w:numId w:val="1"/>
      </w:numPr>
    </w:pPr>
  </w:style>
  <w:style w:type="paragraph" w:customStyle="1" w:styleId="Niveau5Titre6">
    <w:name w:val="Niveau 5  (Titre 6)"/>
    <w:basedOn w:val="Normal"/>
    <w:uiPriority w:val="99"/>
    <w:rsid w:val="006C571B"/>
    <w:pPr>
      <w:numPr>
        <w:ilvl w:val="5"/>
        <w:numId w:val="1"/>
      </w:numPr>
    </w:pPr>
  </w:style>
  <w:style w:type="paragraph" w:customStyle="1" w:styleId="Niveau6Titre7">
    <w:name w:val="Niveau 6  (Titre 7)"/>
    <w:basedOn w:val="Normal"/>
    <w:uiPriority w:val="99"/>
    <w:rsid w:val="006C571B"/>
    <w:pPr>
      <w:numPr>
        <w:ilvl w:val="6"/>
        <w:numId w:val="1"/>
      </w:numPr>
    </w:pPr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rsid w:val="006C571B"/>
    <w:pPr>
      <w:pBdr>
        <w:top w:val="single" w:sz="8" w:space="1" w:color="5B9BD5" w:themeColor="accent1"/>
        <w:bottom w:val="single" w:sz="8" w:space="1" w:color="5B9BD5" w:themeColor="accent1"/>
      </w:pBdr>
      <w:spacing w:after="480" w:line="240" w:lineRule="auto"/>
      <w:ind w:left="357" w:hanging="357"/>
      <w:contextualSpacing/>
      <w:jc w:val="center"/>
      <w:outlineLvl w:val="0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6C571B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styleId="Marquedecommentaire">
    <w:name w:val="annotation reference"/>
    <w:basedOn w:val="Policepardfaut"/>
    <w:uiPriority w:val="99"/>
    <w:semiHidden/>
    <w:unhideWhenUsed/>
    <w:rsid w:val="006C571B"/>
    <w:rPr>
      <w:sz w:val="16"/>
      <w:szCs w:val="16"/>
    </w:rPr>
  </w:style>
  <w:style w:type="numbering" w:customStyle="1" w:styleId="ListeNyA">
    <w:name w:val="Liste NyA"/>
    <w:uiPriority w:val="99"/>
    <w:rsid w:val="006C571B"/>
    <w:pPr>
      <w:numPr>
        <w:numId w:val="3"/>
      </w:numPr>
    </w:p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87F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87FDE"/>
    <w:rPr>
      <w:rFonts w:ascii="Segoe UI" w:hAnsi="Segoe UI" w:cs="Segoe UI"/>
      <w:color w:val="000000" w:themeColor="tex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99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12</Pages>
  <Words>1981</Words>
  <Characters>10899</Characters>
  <Application>Microsoft Office Word</Application>
  <DocSecurity>0</DocSecurity>
  <Lines>90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9</cp:revision>
  <dcterms:created xsi:type="dcterms:W3CDTF">2024-04-16T18:05:00Z</dcterms:created>
  <dcterms:modified xsi:type="dcterms:W3CDTF">2024-04-17T18:58:00Z</dcterms:modified>
</cp:coreProperties>
</file>