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63F" w:rsidRDefault="00EE563F" w:rsidP="00EE563F">
      <w:pPr>
        <w:pStyle w:val="Titre"/>
      </w:pPr>
      <w:bookmarkStart w:id="0" w:name="_Toc100607108"/>
      <w:bookmarkStart w:id="1" w:name="_Toc100286825"/>
      <w:r>
        <w:t>PHARMACOCINETIQUE 5</w:t>
      </w:r>
      <w:r>
        <w:br/>
        <w:t>ELIMINATION DES MEDICAMENTS</w:t>
      </w:r>
      <w:bookmarkEnd w:id="0"/>
      <w:bookmarkEnd w:id="1"/>
    </w:p>
    <w:p w:rsidR="00EE563F" w:rsidRDefault="00EE563F" w:rsidP="00EE563F">
      <w:pPr>
        <w:pStyle w:val="Titre2"/>
        <w:rPr>
          <w:b/>
        </w:rPr>
      </w:pPr>
      <w:bookmarkStart w:id="2" w:name="_Toc100607109"/>
      <w:bookmarkStart w:id="3" w:name="_Toc100286826"/>
      <w:r>
        <w:rPr>
          <w:b/>
        </w:rPr>
        <w:t>INTRODUCTION</w:t>
      </w:r>
      <w:bookmarkEnd w:id="2"/>
      <w:bookmarkEnd w:id="3"/>
    </w:p>
    <w:p w:rsidR="00EE563F" w:rsidRDefault="00EE563F" w:rsidP="00EE563F">
      <w:pPr>
        <w:numPr>
          <w:ilvl w:val="0"/>
          <w:numId w:val="2"/>
        </w:numPr>
        <w:ind w:left="1440"/>
      </w:pPr>
      <w:r>
        <w:t>Elimination des médicaments, 4ème et dernière phase de la pharmacocinétique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 xml:space="preserve">Elimination de principe actif non métabolisé ou sous forme de métabolite(s) 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Elimina</w:t>
      </w:r>
      <w:r>
        <w:t>tion se faisant à l’extérieur ou/et à l’intérieur de l’organisme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3"/>
        <w:rPr>
          <w:b/>
        </w:rPr>
      </w:pPr>
      <w:bookmarkStart w:id="4" w:name="_Toc100607110"/>
      <w:r>
        <w:rPr>
          <w:b/>
        </w:rPr>
        <w:t>Intérêts :</w:t>
      </w:r>
      <w:bookmarkEnd w:id="4"/>
    </w:p>
    <w:p w:rsidR="00EE563F" w:rsidRDefault="00EE563F" w:rsidP="00EE563F">
      <w:pPr>
        <w:numPr>
          <w:ilvl w:val="0"/>
          <w:numId w:val="2"/>
        </w:numPr>
        <w:ind w:left="1440"/>
      </w:pPr>
      <w:r>
        <w:t>Connaissance de l’évolution d’un médicament dans l’organisme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Prévention des interférences pharmacocinétiques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Réduction des effets indésirables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 xml:space="preserve">Prescription </w:t>
      </w:r>
      <w:r>
        <w:t>rationnelle</w:t>
      </w:r>
      <w:r>
        <w:t xml:space="preserve"> des médicaments dans la prévention, traitement, explorations, ...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3"/>
        <w:rPr>
          <w:b/>
        </w:rPr>
      </w:pPr>
      <w:bookmarkStart w:id="5" w:name="_Toc100607111"/>
      <w:r>
        <w:rPr>
          <w:b/>
        </w:rPr>
        <w:t>Objectifs</w:t>
      </w:r>
      <w:bookmarkEnd w:id="5"/>
    </w:p>
    <w:p w:rsidR="00EE563F" w:rsidRDefault="00EE563F" w:rsidP="00EE563F">
      <w:pPr>
        <w:numPr>
          <w:ilvl w:val="0"/>
          <w:numId w:val="2"/>
        </w:numPr>
        <w:ind w:left="1440"/>
      </w:pPr>
      <w:r>
        <w:t>Donner les modalités d’élimination des médicaments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2"/>
        <w:rPr>
          <w:b/>
        </w:rPr>
      </w:pPr>
      <w:bookmarkStart w:id="6" w:name="_Toc100607112"/>
      <w:bookmarkStart w:id="7" w:name="_Toc100286827"/>
      <w:r>
        <w:rPr>
          <w:b/>
        </w:rPr>
        <w:t>VOIE RENALE (voie principale d’élimination)</w:t>
      </w:r>
      <w:bookmarkEnd w:id="6"/>
      <w:bookmarkEnd w:id="7"/>
    </w:p>
    <w:p w:rsidR="00EE563F" w:rsidRDefault="00EE563F" w:rsidP="00EE563F">
      <w:pPr>
        <w:numPr>
          <w:ilvl w:val="0"/>
          <w:numId w:val="2"/>
        </w:numPr>
        <w:ind w:left="1440"/>
      </w:pPr>
      <w:r>
        <w:t>Reins : organes situés dans la partie postérieure de l’abdomen au niveau des régions lombaires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Rein formé d’unités de base appelées néphrons (~1 millions par rein)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NB : les molécules lipophiles sous leur forme inchangée ont une difficulté d’élimination par voie rénale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3"/>
        <w:rPr>
          <w:b/>
        </w:rPr>
      </w:pPr>
      <w:bookmarkStart w:id="8" w:name="_Toc100607113"/>
      <w:r>
        <w:rPr>
          <w:b/>
        </w:rPr>
        <w:lastRenderedPageBreak/>
        <w:t>Au niveau glomérulaire</w:t>
      </w:r>
      <w:bookmarkEnd w:id="8"/>
    </w:p>
    <w:p w:rsidR="00EE563F" w:rsidRDefault="00EE563F" w:rsidP="00EE563F">
      <w:pPr>
        <w:ind w:left="0" w:firstLine="0"/>
      </w:pPr>
      <w:r>
        <w:rPr>
          <w:noProof/>
          <w:lang w:eastAsia="fr-FR"/>
        </w:rPr>
        <w:drawing>
          <wp:inline distT="0" distB="0" distL="0" distR="0">
            <wp:extent cx="5762625" cy="259080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63F" w:rsidRDefault="00EE563F" w:rsidP="00EE563F">
      <w:pPr>
        <w:ind w:left="0" w:firstLine="0"/>
      </w:pPr>
      <w:r>
        <w:rPr>
          <w:noProof/>
          <w:lang w:eastAsia="fr-FR"/>
        </w:rPr>
        <w:drawing>
          <wp:inline distT="0" distB="0" distL="0" distR="0">
            <wp:extent cx="5762625" cy="259080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numPr>
          <w:ilvl w:val="0"/>
          <w:numId w:val="2"/>
        </w:numPr>
        <w:ind w:left="1440"/>
      </w:pPr>
      <w:r>
        <w:t>Filtration des médicaments à travers la membrane basale glomérulaire, indépendamment de leurs caractères de solubilité (taille inférieure à 70.000 daltons)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Fraction libre, non liée aux protéines, la seule à passer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3"/>
        <w:rPr>
          <w:b/>
        </w:rPr>
      </w:pPr>
      <w:bookmarkStart w:id="9" w:name="_Toc100607114"/>
      <w:r>
        <w:rPr>
          <w:b/>
        </w:rPr>
        <w:t>Au niveau du tube contourné proximal</w:t>
      </w:r>
      <w:bookmarkEnd w:id="9"/>
    </w:p>
    <w:p w:rsidR="00EE563F" w:rsidRDefault="00EE563F" w:rsidP="00EE563F">
      <w:pPr>
        <w:numPr>
          <w:ilvl w:val="0"/>
          <w:numId w:val="2"/>
        </w:numPr>
        <w:ind w:left="1440"/>
      </w:pPr>
      <w:r>
        <w:t>TCP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Plus long segment du néphron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Situé uniquement dans la corticale rénale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Long de 12 à 14 mm, avec 50 à 60 µm dia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lastRenderedPageBreak/>
        <w:t>Bordé par un épithélium prismatique simple, pôle apical comportant une bordure en brosse (microvillosités)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Participation à la réabsorption et à la sécrétion de certaines substances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4"/>
        <w:rPr>
          <w:b/>
        </w:rPr>
      </w:pPr>
      <w:r>
        <w:rPr>
          <w:b/>
        </w:rPr>
        <w:t>Sécrétion tubulaire active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Cellules du tube proximal : capables de sécréter activ</w:t>
      </w:r>
      <w:r>
        <w:t xml:space="preserve">ement des substances du plasma </w:t>
      </w:r>
      <w:r>
        <w:t xml:space="preserve">dans l’urine (système de transport basolatéral ou STBL ; échangeurs, </w:t>
      </w:r>
      <w:r>
        <w:t>Co transporteurs</w:t>
      </w:r>
      <w:r>
        <w:t>, protéines ABC)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Identification de 2 mécanismes différents :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Un pour les anions</w:t>
      </w:r>
      <w:r>
        <w:t xml:space="preserve"> </w:t>
      </w:r>
      <w:r>
        <w:t>(</w:t>
      </w:r>
      <w:proofErr w:type="spellStart"/>
      <w:r>
        <w:t>Organic</w:t>
      </w:r>
      <w:proofErr w:type="spellEnd"/>
      <w:r>
        <w:t xml:space="preserve"> Anion Transporter ou OAT) : acide comme acide carboxylique, pénicilline, glucuro-conjugués, sulfo-conjugés, PAH, ...)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Un autre pour les cations (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Catio</w:t>
      </w:r>
      <w:proofErr w:type="spellEnd"/>
      <w:r>
        <w:t xml:space="preserve"> Transporter ou OCT) : bases comme thiamine, porphine, amiloride, chloroquine, ...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Anions et cations en compétition les uns avec les autres pour les transporteurs respectifs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 xml:space="preserve">Conséquence : retard de l’élimination (ex : pénicilline et probénécide : </w:t>
      </w:r>
      <w:r>
        <w:rPr>
          <w:i/>
          <w:iCs/>
        </w:rPr>
        <w:t>demi-vie pénicilline allongée)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4"/>
        <w:rPr>
          <w:b/>
        </w:rPr>
      </w:pPr>
      <w:r>
        <w:rPr>
          <w:b/>
        </w:rPr>
        <w:t>Réabsorption tubulaire passive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Substance très liposolubles, réabsorption selon le gradient de concentration : séjour prolongé de certains médicaments dans l’organisme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Formes conjuguées polaires peu liposoluble : moins bien réabsorbé et facilement éliminée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3"/>
        <w:rPr>
          <w:b/>
        </w:rPr>
      </w:pPr>
      <w:bookmarkStart w:id="10" w:name="_Toc100607115"/>
      <w:r>
        <w:rPr>
          <w:b/>
        </w:rPr>
        <w:t>TCD</w:t>
      </w:r>
      <w:bookmarkEnd w:id="10"/>
    </w:p>
    <w:p w:rsidR="00EE563F" w:rsidRDefault="00EE563F" w:rsidP="00EE563F">
      <w:pPr>
        <w:numPr>
          <w:ilvl w:val="0"/>
          <w:numId w:val="2"/>
        </w:numPr>
        <w:ind w:left="1440"/>
      </w:pPr>
      <w:r>
        <w:t>Diamètre de 40µm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Localisation entière dans la corticale rénale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Epithélium cubique simple, présentant une quasi-absence de différenciation morphologique de son pôle apical, avec uniquement quelques microvillosités, courtes et irrégulières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numPr>
          <w:ilvl w:val="0"/>
          <w:numId w:val="2"/>
        </w:numPr>
        <w:ind w:left="1440"/>
      </w:pPr>
      <w:r>
        <w:lastRenderedPageBreak/>
        <w:t>Urine normalement acidifiée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Création d’un fort gradient de diffusion :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Des urines vers le plasma pour les acides faibles (augmentation de forme non ionisée)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Du plasma vers les urines pour les bases faibles (diminution de la forme non ionisée)</w:t>
      </w:r>
      <w:r>
        <w:br/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Conséquences :</w:t>
      </w:r>
    </w:p>
    <w:p w:rsidR="00EE563F" w:rsidRDefault="00EE563F" w:rsidP="00EE563F">
      <w:pPr>
        <w:numPr>
          <w:ilvl w:val="2"/>
          <w:numId w:val="2"/>
        </w:numPr>
        <w:ind w:left="2880"/>
      </w:pPr>
      <w:r>
        <w:t>Alcaliniser les urines pour éliminer les acides faibles</w:t>
      </w:r>
    </w:p>
    <w:p w:rsidR="00EE563F" w:rsidRDefault="00EE563F" w:rsidP="00EE563F">
      <w:pPr>
        <w:numPr>
          <w:ilvl w:val="2"/>
          <w:numId w:val="2"/>
        </w:numPr>
        <w:ind w:left="2880"/>
      </w:pPr>
      <w:r>
        <w:t>Acidifier les urines pour éliminer les bases faibles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2"/>
        <w:rPr>
          <w:b/>
        </w:rPr>
      </w:pPr>
      <w:bookmarkStart w:id="11" w:name="_Toc100607116"/>
      <w:bookmarkStart w:id="12" w:name="_Toc100286828"/>
      <w:r>
        <w:rPr>
          <w:b/>
        </w:rPr>
        <w:t>Gastro-intestinale</w:t>
      </w:r>
      <w:bookmarkEnd w:id="11"/>
      <w:bookmarkEnd w:id="12"/>
    </w:p>
    <w:p w:rsidR="00EE563F" w:rsidRDefault="00EE563F" w:rsidP="00EE563F">
      <w:pPr>
        <w:numPr>
          <w:ilvl w:val="0"/>
          <w:numId w:val="2"/>
        </w:numPr>
        <w:ind w:left="1440"/>
      </w:pPr>
      <w:r>
        <w:t>Médicaments hydrosolubles dans la lumière intestinale  -</w:t>
      </w:r>
      <w:r>
        <w:rPr>
          <w:rFonts w:ascii="Symbol" w:hAnsi="Symbol"/>
        </w:rPr>
        <w:sym w:font="Symbol" w:char="F03E"/>
      </w:r>
      <w:r>
        <w:t xml:space="preserve"> élimination par les fèces :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Soit substances administrées par voie orale et non réabsorbées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Soit médicaments hydrosolubles délivrées par voie parentérale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Soit des produits de dégradation et de conjugaison éliminés par la bile</w:t>
      </w:r>
      <w:r>
        <w:br/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Possibilité de réabsorption des médicaments par le cycle entérohépatique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Puis élimination par voie rénale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2"/>
        <w:rPr>
          <w:b/>
        </w:rPr>
      </w:pPr>
      <w:bookmarkStart w:id="13" w:name="_Toc100607117"/>
      <w:bookmarkStart w:id="14" w:name="_Toc100286829"/>
      <w:r>
        <w:rPr>
          <w:b/>
        </w:rPr>
        <w:t>Autres voies d’élimination</w:t>
      </w:r>
      <w:bookmarkEnd w:id="13"/>
      <w:bookmarkEnd w:id="14"/>
    </w:p>
    <w:p w:rsidR="00EE563F" w:rsidRDefault="00EE563F" w:rsidP="00EE563F">
      <w:pPr>
        <w:pStyle w:val="Titre3"/>
        <w:rPr>
          <w:b/>
        </w:rPr>
      </w:pPr>
      <w:bookmarkStart w:id="15" w:name="_Toc100607118"/>
      <w:r>
        <w:rPr>
          <w:b/>
        </w:rPr>
        <w:t>Voie pulmonaire</w:t>
      </w:r>
      <w:bookmarkEnd w:id="15"/>
    </w:p>
    <w:p w:rsidR="00EE563F" w:rsidRDefault="00EE563F" w:rsidP="00EE563F">
      <w:pPr>
        <w:numPr>
          <w:ilvl w:val="0"/>
          <w:numId w:val="2"/>
        </w:numPr>
        <w:ind w:left="1440"/>
      </w:pPr>
      <w:r>
        <w:t>Composés volatiles tels que les anesthésiques administrés par inhalation, essences d’eucalyptol, de gaïacol, ...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3"/>
        <w:rPr>
          <w:b/>
        </w:rPr>
      </w:pPr>
      <w:bookmarkStart w:id="16" w:name="_Toc100607119"/>
      <w:r>
        <w:rPr>
          <w:b/>
        </w:rPr>
        <w:t>Larmes</w:t>
      </w:r>
      <w:bookmarkEnd w:id="16"/>
    </w:p>
    <w:p w:rsidR="00EE563F" w:rsidRDefault="00EE563F" w:rsidP="00EE563F">
      <w:pPr>
        <w:numPr>
          <w:ilvl w:val="0"/>
          <w:numId w:val="2"/>
        </w:numPr>
        <w:ind w:left="1440"/>
      </w:pPr>
      <w:r>
        <w:t>Iodures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...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3"/>
        <w:rPr>
          <w:b/>
        </w:rPr>
      </w:pPr>
      <w:bookmarkStart w:id="17" w:name="_Toc100607120"/>
      <w:r>
        <w:rPr>
          <w:b/>
        </w:rPr>
        <w:t>Sueur</w:t>
      </w:r>
      <w:bookmarkEnd w:id="17"/>
      <w:r>
        <w:rPr>
          <w:b/>
        </w:rPr>
        <w:t xml:space="preserve"> 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Quinine, iodures, bromures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...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3"/>
        <w:rPr>
          <w:b/>
        </w:rPr>
      </w:pPr>
      <w:bookmarkStart w:id="18" w:name="_Toc100607121"/>
      <w:r>
        <w:rPr>
          <w:b/>
        </w:rPr>
        <w:t>Lait</w:t>
      </w:r>
      <w:bookmarkEnd w:id="18"/>
    </w:p>
    <w:p w:rsidR="00EE563F" w:rsidRDefault="00EE563F" w:rsidP="00EE563F">
      <w:pPr>
        <w:numPr>
          <w:ilvl w:val="0"/>
          <w:numId w:val="2"/>
        </w:numPr>
        <w:ind w:left="1440"/>
      </w:pPr>
      <w:r>
        <w:t>Alcool, morphine, quinine, certains antibiotiques, ...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3"/>
        <w:rPr>
          <w:b/>
        </w:rPr>
      </w:pPr>
      <w:bookmarkStart w:id="19" w:name="_Toc100607122"/>
      <w:r>
        <w:rPr>
          <w:b/>
        </w:rPr>
        <w:t>Salive</w:t>
      </w:r>
      <w:bookmarkEnd w:id="19"/>
    </w:p>
    <w:p w:rsidR="00EE563F" w:rsidRDefault="00EE563F" w:rsidP="00EE563F">
      <w:pPr>
        <w:numPr>
          <w:ilvl w:val="0"/>
          <w:numId w:val="2"/>
        </w:numPr>
        <w:ind w:left="1440"/>
      </w:pPr>
      <w:r>
        <w:t>Métaux lourds : mercure, bismuth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Morphine, amphétamines, spiramicine, ...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Preuve de leur présence / administration / prise, identification et dosage dans la salive</w:t>
      </w:r>
    </w:p>
    <w:p w:rsidR="00EE563F" w:rsidRDefault="00EE563F" w:rsidP="00EE563F">
      <w:pPr>
        <w:ind w:left="0" w:firstLine="0"/>
      </w:pPr>
    </w:p>
    <w:p w:rsidR="00EE563F" w:rsidRDefault="00EE563F" w:rsidP="00EE563F">
      <w:pPr>
        <w:pStyle w:val="Titre2"/>
        <w:rPr>
          <w:b/>
        </w:rPr>
      </w:pPr>
      <w:bookmarkStart w:id="20" w:name="_Toc100607123"/>
      <w:bookmarkStart w:id="21" w:name="_Toc100286830"/>
      <w:r>
        <w:rPr>
          <w:b/>
        </w:rPr>
        <w:t>Séquestration dans les tissus</w:t>
      </w:r>
      <w:bookmarkEnd w:id="20"/>
      <w:bookmarkEnd w:id="21"/>
    </w:p>
    <w:p w:rsidR="00EE563F" w:rsidRDefault="00EE563F" w:rsidP="00EE563F">
      <w:pPr>
        <w:numPr>
          <w:ilvl w:val="0"/>
          <w:numId w:val="2"/>
        </w:numPr>
        <w:ind w:left="1440"/>
      </w:pPr>
      <w:r>
        <w:t>Séquestration dans certains tissus, cad fixation prolongée de certains médicaments dans l’organisme (pharmaco-thésaurismose)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 xml:space="preserve"> Durée pouvant aller de quelques mois à des dizaines d’années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SNC : phénytoïne, ...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SRE : sels d’or, sel de fer, polyvinylpyrrolidone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Foie</w:t>
      </w:r>
      <w:r>
        <w:t xml:space="preserve"> : méthotrexate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Rein : sels de calcium, ...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Peau et phanères : arsenic, ...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>Thyroïde : iodure et dérivés organiques iodés (produits de contraste)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lastRenderedPageBreak/>
        <w:t xml:space="preserve">Tissu osseux : tétracyclines, ... </w:t>
      </w:r>
      <w:r>
        <w:br/>
      </w:r>
      <w:r>
        <w:rPr>
          <w:noProof/>
          <w:lang w:eastAsia="fr-FR"/>
        </w:rPr>
        <w:drawing>
          <wp:inline distT="0" distB="0" distL="0" distR="0">
            <wp:extent cx="5762625" cy="25908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63F" w:rsidRDefault="00EE563F" w:rsidP="00EE563F">
      <w:pPr>
        <w:pStyle w:val="Titre2"/>
        <w:rPr>
          <w:b/>
        </w:rPr>
      </w:pPr>
      <w:bookmarkStart w:id="22" w:name="_Toc100607124"/>
      <w:bookmarkStart w:id="23" w:name="_Toc100286831"/>
      <w:r>
        <w:rPr>
          <w:b/>
        </w:rPr>
        <w:t>CONCLUSION</w:t>
      </w:r>
      <w:bookmarkEnd w:id="22"/>
      <w:bookmarkEnd w:id="23"/>
    </w:p>
    <w:p w:rsidR="00EE563F" w:rsidRDefault="00EE563F" w:rsidP="00EE563F">
      <w:pPr>
        <w:numPr>
          <w:ilvl w:val="0"/>
          <w:numId w:val="2"/>
        </w:numPr>
        <w:ind w:left="1440"/>
      </w:pPr>
      <w:r>
        <w:t>Pharmacocinétique : absorption, distribution, métabolisme, et élimination</w:t>
      </w:r>
    </w:p>
    <w:p w:rsidR="00EE563F" w:rsidRDefault="00EE563F" w:rsidP="00EE563F">
      <w:pPr>
        <w:numPr>
          <w:ilvl w:val="0"/>
          <w:numId w:val="2"/>
        </w:numPr>
        <w:ind w:left="1440"/>
        <w:rPr>
          <w:b/>
          <w:bCs/>
        </w:rPr>
      </w:pPr>
      <w:r>
        <w:rPr>
          <w:b/>
          <w:bCs/>
        </w:rPr>
        <w:t xml:space="preserve">Absorption : 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A travers : peau et muqueuses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Plusieurs modes:</w:t>
      </w:r>
    </w:p>
    <w:p w:rsidR="00EE563F" w:rsidRDefault="00EE563F" w:rsidP="00EE563F">
      <w:pPr>
        <w:numPr>
          <w:ilvl w:val="2"/>
          <w:numId w:val="2"/>
        </w:numPr>
        <w:ind w:left="2880"/>
      </w:pPr>
      <w:r>
        <w:t>Diffusion passive, transport actif, pinocytose, ...</w:t>
      </w:r>
    </w:p>
    <w:p w:rsidR="00EE563F" w:rsidRDefault="00EE563F" w:rsidP="00EE563F">
      <w:pPr>
        <w:numPr>
          <w:ilvl w:val="2"/>
          <w:numId w:val="2"/>
        </w:numPr>
        <w:ind w:left="2880"/>
      </w:pPr>
      <w:r>
        <w:t>NB : sans absorption pour l’administration directe par voie parentérale - intravasculaire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Importante : = un des facteurs conditionnant la biodisponibilité des médicaments</w:t>
      </w:r>
      <w:r>
        <w:br/>
      </w:r>
    </w:p>
    <w:p w:rsidR="00EE563F" w:rsidRDefault="00EE563F" w:rsidP="00EE563F">
      <w:pPr>
        <w:numPr>
          <w:ilvl w:val="0"/>
          <w:numId w:val="2"/>
        </w:numPr>
        <w:ind w:left="1440"/>
        <w:rPr>
          <w:b/>
          <w:bCs/>
        </w:rPr>
      </w:pPr>
      <w:r>
        <w:rPr>
          <w:b/>
          <w:bCs/>
        </w:rPr>
        <w:t>Diffusion :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Deuxième phase de la pharmacocinétique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Sous la dépendance de :</w:t>
      </w:r>
    </w:p>
    <w:p w:rsidR="00EE563F" w:rsidRDefault="00EE563F" w:rsidP="00EE563F">
      <w:pPr>
        <w:numPr>
          <w:ilvl w:val="2"/>
          <w:numId w:val="2"/>
        </w:numPr>
        <w:ind w:left="2880"/>
      </w:pPr>
      <w:r>
        <w:t>Fixation sur les structures plasmatiques, surtout les albumines</w:t>
      </w:r>
    </w:p>
    <w:p w:rsidR="00EE563F" w:rsidRDefault="00EE563F" w:rsidP="00EE563F">
      <w:pPr>
        <w:numPr>
          <w:ilvl w:val="2"/>
          <w:numId w:val="2"/>
        </w:numPr>
        <w:ind w:left="2880"/>
      </w:pPr>
      <w:r>
        <w:t xml:space="preserve">Filtration à travers les parois des </w:t>
      </w:r>
      <w:r>
        <w:t>capillaires</w:t>
      </w:r>
    </w:p>
    <w:p w:rsidR="00EE563F" w:rsidRDefault="00EE563F" w:rsidP="00EE563F">
      <w:pPr>
        <w:numPr>
          <w:ilvl w:val="2"/>
          <w:numId w:val="2"/>
        </w:numPr>
        <w:ind w:left="2880"/>
      </w:pPr>
      <w:r>
        <w:t>Passage dans les tissus, les cellules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 xml:space="preserve">Importance de la </w:t>
      </w:r>
      <w:r>
        <w:t>concentration</w:t>
      </w:r>
      <w:r>
        <w:t xml:space="preserve"> au niveau des structures cibles :</w:t>
      </w:r>
    </w:p>
    <w:p w:rsidR="00EE563F" w:rsidRDefault="00EE563F" w:rsidP="00EE563F">
      <w:pPr>
        <w:numPr>
          <w:ilvl w:val="2"/>
          <w:numId w:val="2"/>
        </w:numPr>
        <w:ind w:left="2880"/>
      </w:pPr>
      <w:r>
        <w:lastRenderedPageBreak/>
        <w:t>Membrane cellulaire, organelle, organismes étrangers à l’organisme, ...</w:t>
      </w:r>
    </w:p>
    <w:p w:rsidR="00EE563F" w:rsidRDefault="00EE563F" w:rsidP="00EE563F">
      <w:pPr>
        <w:numPr>
          <w:ilvl w:val="2"/>
          <w:numId w:val="2"/>
        </w:numPr>
        <w:ind w:left="2880"/>
      </w:pPr>
      <w:r>
        <w:t>Siège de l’action et des effets pharmacologiques</w:t>
      </w:r>
      <w:r>
        <w:br/>
      </w:r>
    </w:p>
    <w:p w:rsidR="00EE563F" w:rsidRDefault="00EE563F" w:rsidP="00EE563F">
      <w:pPr>
        <w:numPr>
          <w:ilvl w:val="0"/>
          <w:numId w:val="2"/>
        </w:numPr>
        <w:ind w:left="1440"/>
        <w:rPr>
          <w:b/>
          <w:bCs/>
        </w:rPr>
      </w:pPr>
      <w:r>
        <w:rPr>
          <w:b/>
          <w:bCs/>
        </w:rPr>
        <w:t>Métabolisme :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Déroulement dans différents tissus, surtout au niveau du foie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Composante : réactions de la phase 1 (fonctionnalisation) et de la phase 2 (conjugaison)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Obtention de :</w:t>
      </w:r>
    </w:p>
    <w:p w:rsidR="00EE563F" w:rsidRDefault="00EE563F" w:rsidP="00EE563F">
      <w:pPr>
        <w:numPr>
          <w:ilvl w:val="2"/>
          <w:numId w:val="2"/>
        </w:numPr>
        <w:ind w:left="2880"/>
      </w:pPr>
      <w:r>
        <w:t>Métabolites inactifs</w:t>
      </w:r>
    </w:p>
    <w:p w:rsidR="00EE563F" w:rsidRDefault="00EE563F" w:rsidP="00EE563F">
      <w:pPr>
        <w:numPr>
          <w:ilvl w:val="2"/>
          <w:numId w:val="2"/>
        </w:numPr>
        <w:ind w:left="2880"/>
      </w:pPr>
      <w:r>
        <w:t>Métabolites actifs</w:t>
      </w:r>
      <w:r>
        <w:br/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Conséquences : changements de taille, de liposolubilité, de charge ou de polarité</w:t>
      </w:r>
      <w:r>
        <w:br/>
      </w:r>
    </w:p>
    <w:p w:rsidR="00EE563F" w:rsidRDefault="00EE563F" w:rsidP="00EE563F">
      <w:pPr>
        <w:numPr>
          <w:ilvl w:val="0"/>
          <w:numId w:val="2"/>
        </w:numPr>
        <w:ind w:left="1440"/>
        <w:rPr>
          <w:b/>
          <w:bCs/>
        </w:rPr>
      </w:pPr>
      <w:r>
        <w:rPr>
          <w:b/>
          <w:bCs/>
        </w:rPr>
        <w:t>Elimination par différentes voies :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Rénale +++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 xml:space="preserve">Digestive </w:t>
      </w:r>
    </w:p>
    <w:p w:rsidR="00EE563F" w:rsidRDefault="00EE563F" w:rsidP="00EE563F">
      <w:pPr>
        <w:numPr>
          <w:ilvl w:val="1"/>
          <w:numId w:val="2"/>
        </w:numPr>
        <w:ind w:left="2160"/>
      </w:pPr>
      <w:r>
        <w:t>Autres voies : pulmonaire, salive, sueur, etc.</w:t>
      </w:r>
      <w:r>
        <w:br/>
      </w:r>
    </w:p>
    <w:p w:rsidR="00EE563F" w:rsidRDefault="00EE563F" w:rsidP="00EE563F">
      <w:pPr>
        <w:ind w:left="0" w:firstLine="0"/>
      </w:pPr>
      <w:r>
        <w:br/>
      </w:r>
      <w:r>
        <w:rPr>
          <w:b/>
          <w:bCs/>
          <w:u w:val="single"/>
        </w:rPr>
        <w:t>Résumé :</w:t>
      </w:r>
    </w:p>
    <w:p w:rsidR="00EE563F" w:rsidRDefault="00EE563F" w:rsidP="00EE563F">
      <w:pPr>
        <w:numPr>
          <w:ilvl w:val="0"/>
          <w:numId w:val="2"/>
        </w:numPr>
        <w:ind w:left="1440"/>
      </w:pPr>
      <w:r>
        <w:t xml:space="preserve">Pharmacocinétique avec ses quatres processus (Absorption, distribution, métabolisme et élimination) étant </w:t>
      </w:r>
      <w:r>
        <w:t>déterminant</w:t>
      </w:r>
      <w:bookmarkStart w:id="24" w:name="_GoBack"/>
      <w:bookmarkEnd w:id="24"/>
      <w:r>
        <w:t xml:space="preserve"> dans la quantité de médicament au site d’action à tout moment</w:t>
      </w:r>
    </w:p>
    <w:p w:rsidR="00EE563F" w:rsidRDefault="00EE563F" w:rsidP="00EE563F">
      <w:pPr>
        <w:spacing w:after="0" w:line="240" w:lineRule="auto"/>
        <w:ind w:firstLine="0"/>
        <w:rPr>
          <w:rFonts w:ascii="Times New Roman" w:hAnsi="Times New Roman" w:cs="Times New Roman"/>
          <w:color w:val="auto"/>
          <w:szCs w:val="24"/>
          <w:lang w:eastAsia="fr-FR"/>
        </w:rPr>
      </w:pPr>
      <w:r>
        <w:t>Pharmacocinétique influençant aussi la durée d’action des médicaments</w:t>
      </w:r>
      <w:r>
        <w:rPr>
          <w:rFonts w:ascii="Times New Roman" w:hAnsi="Times New Roman" w:cs="Times New Roman"/>
          <w:color w:val="auto"/>
          <w:szCs w:val="24"/>
          <w:lang w:eastAsia="fr-FR"/>
        </w:rPr>
        <w:t xml:space="preserve"> </w:t>
      </w:r>
    </w:p>
    <w:p w:rsidR="00A61BBB" w:rsidRDefault="00A61BBB"/>
    <w:sectPr w:rsidR="00A61B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B68AA"/>
    <w:multiLevelType w:val="multilevel"/>
    <w:tmpl w:val="55343AA0"/>
    <w:numStyleLink w:val="ListeNyA"/>
  </w:abstractNum>
  <w:abstractNum w:abstractNumId="1" w15:restartNumberingAfterBreak="0">
    <w:nsid w:val="53681573"/>
    <w:multiLevelType w:val="hybridMultilevel"/>
    <w:tmpl w:val="0BAC35B2"/>
    <w:lvl w:ilvl="0" w:tplc="54967C6E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049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6C6A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63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4B4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46A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0E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51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045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C03C1"/>
    <w:multiLevelType w:val="multilevel"/>
    <w:tmpl w:val="55343AA0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cs="Times New Roman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137"/>
    <w:rsid w:val="0017431E"/>
    <w:rsid w:val="008C3137"/>
    <w:rsid w:val="0091286F"/>
    <w:rsid w:val="00A61BBB"/>
    <w:rsid w:val="00C162AE"/>
    <w:rsid w:val="00EE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5F028C-292B-4092-BB2F-253309C7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563F"/>
    <w:pPr>
      <w:spacing w:line="276" w:lineRule="auto"/>
      <w:ind w:left="720" w:hanging="360"/>
    </w:pPr>
    <w:rPr>
      <w:rFonts w:ascii="Arial" w:hAnsi="Arial"/>
      <w:color w:val="000000" w:themeColor="text1"/>
      <w:sz w:val="24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semiHidden/>
    <w:unhideWhenUsed/>
    <w:qFormat/>
    <w:rsid w:val="00EE563F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color w:val="5B9BD5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semiHidden/>
    <w:unhideWhenUsed/>
    <w:qFormat/>
    <w:rsid w:val="00EE563F"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color w:val="1F4E79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semiHidden/>
    <w:unhideWhenUsed/>
    <w:qFormat/>
    <w:rsid w:val="00EE563F"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iCs/>
      <w:color w:val="2E74B5" w:themeColor="accent1" w:themeShade="BF"/>
      <w:sz w:val="2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Niveau 1 Car"/>
    <w:basedOn w:val="Policepardfaut"/>
    <w:link w:val="Titre2"/>
    <w:uiPriority w:val="9"/>
    <w:semiHidden/>
    <w:rsid w:val="00EE563F"/>
    <w:rPr>
      <w:rFonts w:ascii="Calibri Light" w:eastAsiaTheme="majorEastAsia" w:hAnsi="Calibri Light" w:cstheme="majorBidi"/>
      <w:color w:val="5B9BD5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semiHidden/>
    <w:rsid w:val="00EE563F"/>
    <w:rPr>
      <w:rFonts w:ascii="Calibri Light" w:eastAsiaTheme="majorEastAsia" w:hAnsi="Calibri Light" w:cstheme="majorBidi"/>
      <w:color w:val="1F4E79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semiHidden/>
    <w:rsid w:val="00EE563F"/>
    <w:rPr>
      <w:rFonts w:ascii="Calibri Light" w:eastAsiaTheme="majorEastAsia" w:hAnsi="Calibri Light" w:cstheme="majorBidi"/>
      <w:iCs/>
      <w:color w:val="2E74B5" w:themeColor="accent1" w:themeShade="BF"/>
      <w:sz w:val="26"/>
      <w:u w:val="single"/>
    </w:rPr>
  </w:style>
  <w:style w:type="paragraph" w:customStyle="1" w:styleId="GrandtitreTitre">
    <w:name w:val="Grand titre  (Titre)"/>
    <w:basedOn w:val="Normal"/>
    <w:uiPriority w:val="99"/>
    <w:rsid w:val="00EE563F"/>
    <w:pPr>
      <w:numPr>
        <w:numId w:val="1"/>
      </w:numPr>
    </w:pPr>
  </w:style>
  <w:style w:type="paragraph" w:customStyle="1" w:styleId="Niveau1Titre2">
    <w:name w:val="Niveau 1  (Titre 2)"/>
    <w:basedOn w:val="Normal"/>
    <w:uiPriority w:val="99"/>
    <w:rsid w:val="00EE563F"/>
    <w:pPr>
      <w:numPr>
        <w:ilvl w:val="1"/>
        <w:numId w:val="1"/>
      </w:numPr>
    </w:pPr>
  </w:style>
  <w:style w:type="paragraph" w:customStyle="1" w:styleId="Niveau2Titre3">
    <w:name w:val="Niveau 2  (Titre 3)"/>
    <w:basedOn w:val="Normal"/>
    <w:uiPriority w:val="99"/>
    <w:rsid w:val="00EE563F"/>
    <w:pPr>
      <w:numPr>
        <w:ilvl w:val="2"/>
        <w:numId w:val="1"/>
      </w:numPr>
    </w:pPr>
  </w:style>
  <w:style w:type="paragraph" w:customStyle="1" w:styleId="Niveau3Titre4">
    <w:name w:val="Niveau 3  (Titre 4)"/>
    <w:basedOn w:val="Normal"/>
    <w:uiPriority w:val="99"/>
    <w:rsid w:val="00EE563F"/>
    <w:pPr>
      <w:numPr>
        <w:ilvl w:val="3"/>
        <w:numId w:val="1"/>
      </w:numPr>
    </w:pPr>
  </w:style>
  <w:style w:type="paragraph" w:customStyle="1" w:styleId="Niveau4Titre5">
    <w:name w:val="Niveau 4  (Titre 5)"/>
    <w:basedOn w:val="Normal"/>
    <w:uiPriority w:val="99"/>
    <w:rsid w:val="00EE563F"/>
    <w:pPr>
      <w:numPr>
        <w:ilvl w:val="4"/>
        <w:numId w:val="1"/>
      </w:numPr>
    </w:pPr>
  </w:style>
  <w:style w:type="paragraph" w:customStyle="1" w:styleId="Niveau5Titre6">
    <w:name w:val="Niveau 5  (Titre 6)"/>
    <w:basedOn w:val="Normal"/>
    <w:uiPriority w:val="99"/>
    <w:rsid w:val="00EE563F"/>
    <w:pPr>
      <w:numPr>
        <w:ilvl w:val="5"/>
        <w:numId w:val="1"/>
      </w:numPr>
    </w:pPr>
  </w:style>
  <w:style w:type="paragraph" w:customStyle="1" w:styleId="Niveau6Titre7">
    <w:name w:val="Niveau 6  (Titre 7)"/>
    <w:basedOn w:val="Normal"/>
    <w:uiPriority w:val="99"/>
    <w:rsid w:val="00EE563F"/>
    <w:pPr>
      <w:numPr>
        <w:ilvl w:val="6"/>
        <w:numId w:val="1"/>
      </w:numPr>
    </w:p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EE563F"/>
    <w:pPr>
      <w:pBdr>
        <w:top w:val="single" w:sz="8" w:space="1" w:color="5B9BD5" w:themeColor="accent1"/>
        <w:bottom w:val="single" w:sz="8" w:space="1" w:color="5B9BD5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EE563F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numbering" w:customStyle="1" w:styleId="ListeNyA">
    <w:name w:val="Liste NyA"/>
    <w:uiPriority w:val="99"/>
    <w:rsid w:val="00EE563F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902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2024-04-15T16:58:00Z</dcterms:created>
  <dcterms:modified xsi:type="dcterms:W3CDTF">2024-04-15T17:04:00Z</dcterms:modified>
</cp:coreProperties>
</file>