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520" w:rsidRDefault="00334520" w:rsidP="00334520">
      <w:pPr>
        <w:pStyle w:val="Titre"/>
      </w:pPr>
      <w:bookmarkStart w:id="0" w:name="_Toc100607055"/>
      <w:bookmarkStart w:id="1" w:name="_Toc100286794"/>
      <w:r>
        <w:t>PHARMACOCINETIQUE 1</w:t>
      </w:r>
      <w:r>
        <w:br/>
        <w:t>Modalités de passage des médicaments à travers les membranes biologiques</w:t>
      </w:r>
      <w:bookmarkEnd w:id="0"/>
      <w:bookmarkEnd w:id="1"/>
      <w:r>
        <w:t>/peau et muqueuses</w:t>
      </w:r>
    </w:p>
    <w:p w:rsidR="00334520" w:rsidRDefault="00334520" w:rsidP="00334520">
      <w:pPr>
        <w:ind w:left="0" w:firstLine="0"/>
      </w:pPr>
    </w:p>
    <w:p w:rsidR="00334520" w:rsidRDefault="00334520" w:rsidP="00334520">
      <w:pPr>
        <w:pStyle w:val="Titre2"/>
        <w:rPr>
          <w:b/>
        </w:rPr>
      </w:pPr>
      <w:bookmarkStart w:id="2" w:name="_Toc100607056"/>
      <w:bookmarkStart w:id="3" w:name="_Toc100286795"/>
      <w:r>
        <w:rPr>
          <w:b/>
        </w:rPr>
        <w:t>INTRODUCTION</w:t>
      </w:r>
      <w:bookmarkEnd w:id="2"/>
      <w:bookmarkEnd w:id="3"/>
    </w:p>
    <w:p w:rsidR="00334520" w:rsidRDefault="00334520" w:rsidP="00334520">
      <w:pPr>
        <w:numPr>
          <w:ilvl w:val="0"/>
          <w:numId w:val="2"/>
        </w:numPr>
        <w:ind w:left="1440"/>
      </w:pPr>
      <w:r>
        <w:t>Médicament après son administration : absorption (muqueuses) ou résorption (tissus) et distribution dans l’organisme (appareils, organes, tissus, cellules)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Absorption/résorption et distribution : implication des échanges à travers les épithéliums, les membranes cellulaires (membrane plasmique, membrane des organites intracellulaires, ...)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Membrane à caractère hydrophobe dû à la double couche lipidique, barrière sélective permettant à la cellule de maintenir des concentrations de solutés différentes de part et d’autre de la membrane (valable aussi pour les organites ou organelles intracellulaires)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Séparation des compartiments définis par la membrane n’est pas totale, nécessité d’échanges moléculaires à la vie cellulaire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Echange par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Diffusion passive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 xml:space="preserve">Pinocytose </w:t>
      </w:r>
      <w:bookmarkStart w:id="4" w:name="_GoBack"/>
      <w:bookmarkEnd w:id="4"/>
    </w:p>
    <w:p w:rsidR="00334520" w:rsidRDefault="00334520" w:rsidP="00334520">
      <w:pPr>
        <w:numPr>
          <w:ilvl w:val="1"/>
          <w:numId w:val="2"/>
        </w:numPr>
        <w:ind w:left="2160"/>
      </w:pPr>
      <w:r>
        <w:t>Systèmes de transport d’ions et de macromolécules faisant intervenir des protéines membranaires (transporteurs, pompes, canaux, ...)</w:t>
      </w:r>
    </w:p>
    <w:p w:rsidR="00334520" w:rsidRDefault="00334520" w:rsidP="00334520">
      <w:pPr>
        <w:ind w:left="0" w:firstLine="0"/>
      </w:pPr>
    </w:p>
    <w:p w:rsidR="00334520" w:rsidRDefault="00334520" w:rsidP="00334520">
      <w:pPr>
        <w:pStyle w:val="Titre3"/>
        <w:rPr>
          <w:b/>
        </w:rPr>
      </w:pPr>
      <w:bookmarkStart w:id="5" w:name="_Toc100607057"/>
      <w:r>
        <w:rPr>
          <w:b/>
        </w:rPr>
        <w:t>Intérêts :</w:t>
      </w:r>
      <w:bookmarkEnd w:id="5"/>
    </w:p>
    <w:p w:rsidR="00334520" w:rsidRDefault="00334520" w:rsidP="00334520">
      <w:pPr>
        <w:numPr>
          <w:ilvl w:val="0"/>
          <w:numId w:val="2"/>
        </w:numPr>
        <w:ind w:left="1440"/>
      </w:pPr>
      <w:r>
        <w:t>Echange de molécules biologiques et diverses entre MEC et MIC se faisant à travers différentes membranes biologiques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lastRenderedPageBreak/>
        <w:t>Importance aussi dans le devenir des médicaments dans l’organisme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Passage de(s) principes actif(s) : pas le même à travers la membrane biologique</w:t>
      </w:r>
    </w:p>
    <w:p w:rsidR="00334520" w:rsidRDefault="00334520" w:rsidP="00334520">
      <w:pPr>
        <w:numPr>
          <w:ilvl w:val="0"/>
          <w:numId w:val="2"/>
        </w:numPr>
        <w:ind w:left="1440"/>
        <w:rPr>
          <w:i/>
          <w:iCs/>
        </w:rPr>
      </w:pPr>
      <w:r>
        <w:t>Distribution du principe actif sous sa dépendance (</w:t>
      </w:r>
      <w:r>
        <w:rPr>
          <w:i/>
          <w:iCs/>
        </w:rPr>
        <w:t>modalité de passage à travers l’épithélium et membranes biologiques)</w:t>
      </w:r>
    </w:p>
    <w:p w:rsidR="00334520" w:rsidRDefault="00334520" w:rsidP="00334520">
      <w:pPr>
        <w:ind w:left="0" w:firstLine="0"/>
        <w:rPr>
          <w:i/>
          <w:iCs/>
        </w:rPr>
      </w:pPr>
    </w:p>
    <w:p w:rsidR="00334520" w:rsidRDefault="00334520" w:rsidP="00334520">
      <w:pPr>
        <w:ind w:left="0" w:firstLine="0"/>
      </w:pPr>
      <w:r>
        <w:t>Objectifs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Donner les différents modes de passage des médicaments à travers les membranes biologiques et les muqueuses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Donner les facteurs régissant chaque mode de passage</w:t>
      </w:r>
    </w:p>
    <w:p w:rsidR="00334520" w:rsidRDefault="00334520" w:rsidP="00334520">
      <w:pPr>
        <w:ind w:left="0" w:firstLine="0"/>
      </w:pPr>
    </w:p>
    <w:p w:rsidR="00334520" w:rsidRDefault="00334520" w:rsidP="00334520">
      <w:pPr>
        <w:pStyle w:val="Titre2"/>
        <w:rPr>
          <w:b/>
        </w:rPr>
      </w:pPr>
      <w:bookmarkStart w:id="6" w:name="_Toc100607058"/>
      <w:bookmarkStart w:id="7" w:name="_Toc100286796"/>
      <w:r>
        <w:rPr>
          <w:b/>
        </w:rPr>
        <w:t>PASSAGE TRANSCELLULAIRE</w:t>
      </w:r>
      <w:bookmarkEnd w:id="6"/>
      <w:bookmarkEnd w:id="7"/>
    </w:p>
    <w:p w:rsidR="00334520" w:rsidRDefault="00334520" w:rsidP="00334520">
      <w:pPr>
        <w:numPr>
          <w:ilvl w:val="0"/>
          <w:numId w:val="2"/>
        </w:numPr>
        <w:ind w:left="1440"/>
      </w:pPr>
      <w:r>
        <w:t>Observation si les cellules sont serrées les unes contre les autres (ex : endothélium des capillaires cérébraux)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Médicament : traversée des cellules elles-mêmes pour passer d’un compartiment à l’autre (franchissement de la membrane cytoplasmique)</w:t>
      </w:r>
    </w:p>
    <w:p w:rsidR="00334520" w:rsidRDefault="00334520" w:rsidP="00334520">
      <w:pPr>
        <w:ind w:left="0" w:firstLine="0"/>
      </w:pPr>
    </w:p>
    <w:p w:rsidR="00334520" w:rsidRDefault="00334520" w:rsidP="00334520">
      <w:pPr>
        <w:pStyle w:val="Titre2"/>
        <w:rPr>
          <w:b/>
        </w:rPr>
      </w:pPr>
      <w:bookmarkStart w:id="8" w:name="_Toc100607059"/>
      <w:bookmarkStart w:id="9" w:name="_Toc100286797"/>
      <w:r>
        <w:rPr>
          <w:b/>
        </w:rPr>
        <w:t>PASSAGE PARACELLULAIRE</w:t>
      </w:r>
      <w:bookmarkEnd w:id="8"/>
      <w:bookmarkEnd w:id="9"/>
    </w:p>
    <w:p w:rsidR="00334520" w:rsidRDefault="00334520" w:rsidP="00334520">
      <w:pPr>
        <w:numPr>
          <w:ilvl w:val="0"/>
          <w:numId w:val="2"/>
        </w:numPr>
        <w:ind w:left="1440"/>
      </w:pPr>
      <w:r>
        <w:t>Observation si cellules séparées les unes des autres par des jonctions plus lâches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Passage possible des molécules médicamenteuses entre les interstices cellulaires appelées “gap junctions”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 xml:space="preserve">Passage paracellulaire du principe actif sous la dépendance essentiellement de son </w:t>
      </w:r>
      <w:r>
        <w:rPr>
          <w:b/>
          <w:bCs/>
          <w:u w:val="single"/>
        </w:rPr>
        <w:t>poids</w:t>
      </w:r>
      <w:r>
        <w:t xml:space="preserve"> et de sa </w:t>
      </w:r>
      <w:r>
        <w:rPr>
          <w:b/>
          <w:bCs/>
          <w:u w:val="single"/>
        </w:rPr>
        <w:t>flexibilité</w:t>
      </w:r>
      <w:r>
        <w:t xml:space="preserve"> </w:t>
      </w:r>
      <w:r>
        <w:rPr>
          <w:i/>
          <w:iCs/>
        </w:rPr>
        <w:t>(diamètre doit être &lt; celui des interstices)</w:t>
      </w:r>
    </w:p>
    <w:p w:rsidR="00334520" w:rsidRDefault="00334520" w:rsidP="00334520">
      <w:pPr>
        <w:ind w:left="0" w:firstLine="0"/>
      </w:pPr>
    </w:p>
    <w:p w:rsidR="00334520" w:rsidRDefault="00334520" w:rsidP="00334520">
      <w:pPr>
        <w:pStyle w:val="Titre2"/>
        <w:rPr>
          <w:b/>
        </w:rPr>
      </w:pPr>
      <w:bookmarkStart w:id="10" w:name="_Toc100607060"/>
      <w:bookmarkStart w:id="11" w:name="_Toc100286798"/>
      <w:r>
        <w:rPr>
          <w:b/>
        </w:rPr>
        <w:t>PINOCYTOSE</w:t>
      </w:r>
      <w:bookmarkEnd w:id="10"/>
      <w:bookmarkEnd w:id="11"/>
    </w:p>
    <w:p w:rsidR="00334520" w:rsidRDefault="00334520" w:rsidP="00334520">
      <w:pPr>
        <w:numPr>
          <w:ilvl w:val="0"/>
          <w:numId w:val="2"/>
        </w:numPr>
        <w:ind w:left="1440"/>
      </w:pPr>
      <w:r>
        <w:t>= combinaison de l’endocytose et de l’exocytose</w:t>
      </w:r>
      <w:r>
        <w:br/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 xml:space="preserve">Endocytose : 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 xml:space="preserve">Absorption par une cellule d’une molécule médicamenteuse du côté extracellulaire 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lastRenderedPageBreak/>
        <w:t>Inclusion de la molécule dans une vésicule formée par une invagination de la membrane plasmique suivie d’une pénétration dans le cytoplasme</w:t>
      </w:r>
      <w:r>
        <w:br/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Exocytose :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Sortie hors de la cellule de molécules contenues dans des vésicules après être venues se fondre à la membrane plasmique</w:t>
      </w:r>
    </w:p>
    <w:p w:rsidR="00334520" w:rsidRDefault="00334520" w:rsidP="00334520">
      <w:pPr>
        <w:ind w:left="0" w:firstLine="0"/>
      </w:pPr>
    </w:p>
    <w:p w:rsidR="00334520" w:rsidRDefault="00334520" w:rsidP="00334520">
      <w:pPr>
        <w:pStyle w:val="Titre2"/>
        <w:rPr>
          <w:b/>
        </w:rPr>
      </w:pPr>
      <w:bookmarkStart w:id="12" w:name="_Toc100607061"/>
      <w:bookmarkStart w:id="13" w:name="_Toc100286799"/>
      <w:r>
        <w:rPr>
          <w:b/>
        </w:rPr>
        <w:t>FILTRATION (PORES) ET CANAUX</w:t>
      </w:r>
      <w:bookmarkEnd w:id="12"/>
      <w:bookmarkEnd w:id="13"/>
    </w:p>
    <w:p w:rsidR="00334520" w:rsidRDefault="00334520" w:rsidP="00334520">
      <w:pPr>
        <w:numPr>
          <w:ilvl w:val="0"/>
          <w:numId w:val="2"/>
        </w:numPr>
        <w:ind w:left="1440"/>
      </w:pPr>
      <w:r>
        <w:t xml:space="preserve">Pores : 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Passage de molécules à travers de zones de continuité entre l’extérieur et l’intérieur de la membrane ou de l’épithélium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Passage des molécules de taille inférieure à celle du pore (transfert de plus en plus difficile à l’approche de la taille du pore)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Passage dépendant de :</w:t>
      </w:r>
    </w:p>
    <w:p w:rsidR="00334520" w:rsidRDefault="00334520" w:rsidP="00334520">
      <w:pPr>
        <w:numPr>
          <w:ilvl w:val="2"/>
          <w:numId w:val="2"/>
        </w:numPr>
        <w:ind w:left="2880"/>
      </w:pPr>
      <w:r>
        <w:t>Pression de filtration</w:t>
      </w:r>
    </w:p>
    <w:p w:rsidR="00334520" w:rsidRDefault="00334520" w:rsidP="00334520">
      <w:pPr>
        <w:numPr>
          <w:ilvl w:val="2"/>
          <w:numId w:val="2"/>
        </w:numPr>
        <w:ind w:left="2880"/>
      </w:pPr>
      <w:r>
        <w:t>Poids moléculaire (médicament lié aux protéines -&gt; problème de passage)</w:t>
      </w:r>
    </w:p>
    <w:p w:rsidR="00334520" w:rsidRDefault="00334520" w:rsidP="00334520">
      <w:pPr>
        <w:numPr>
          <w:ilvl w:val="2"/>
          <w:numId w:val="2"/>
        </w:numPr>
        <w:ind w:left="2880"/>
      </w:pPr>
      <w:r>
        <w:t>Diamètre et nombres de pores</w:t>
      </w:r>
    </w:p>
    <w:p w:rsidR="00334520" w:rsidRDefault="00334520" w:rsidP="00334520">
      <w:pPr>
        <w:numPr>
          <w:ilvl w:val="2"/>
          <w:numId w:val="2"/>
        </w:numPr>
        <w:ind w:left="2880"/>
      </w:pPr>
      <w:r>
        <w:t>Gradient de concentration de part et d’autre de la membrane</w:t>
      </w:r>
    </w:p>
    <w:p w:rsidR="00334520" w:rsidRDefault="00334520" w:rsidP="00334520">
      <w:pPr>
        <w:numPr>
          <w:ilvl w:val="2"/>
          <w:numId w:val="2"/>
        </w:numPr>
        <w:ind w:left="2880"/>
      </w:pPr>
      <w:r>
        <w:t>Charges, flexibilité, ...</w:t>
      </w:r>
    </w:p>
    <w:p w:rsidR="00334520" w:rsidRDefault="00334520" w:rsidP="00334520">
      <w:pPr>
        <w:ind w:left="0" w:firstLine="0"/>
      </w:pPr>
    </w:p>
    <w:p w:rsidR="00334520" w:rsidRDefault="00334520" w:rsidP="00334520">
      <w:pPr>
        <w:pStyle w:val="Titre2"/>
        <w:rPr>
          <w:b/>
        </w:rPr>
      </w:pPr>
      <w:bookmarkStart w:id="14" w:name="_Toc100607062"/>
      <w:bookmarkStart w:id="15" w:name="_Toc100286800"/>
      <w:r>
        <w:rPr>
          <w:b/>
        </w:rPr>
        <w:t>DIFFUSION PASSIVE +++</w:t>
      </w:r>
      <w:bookmarkEnd w:id="14"/>
      <w:bookmarkEnd w:id="15"/>
    </w:p>
    <w:p w:rsidR="00334520" w:rsidRDefault="00334520" w:rsidP="00334520">
      <w:pPr>
        <w:numPr>
          <w:ilvl w:val="0"/>
          <w:numId w:val="2"/>
        </w:numPr>
        <w:ind w:left="1440"/>
      </w:pPr>
      <w:r>
        <w:t>Passage à travers la membrane biologique/épithélium sans nécessité :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Apport énergétique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 xml:space="preserve">Intervention de protéine transporteuse cellulaire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Diffusion du principe actif par dissolution dans une membrane de nature lipidique, importance des caractères de solubilité dans les lipides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 xml:space="preserve">Migration des molécules dissoutes du milieu le plus concentré vers le milieu moins concentré 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lastRenderedPageBreak/>
        <w:t>Diminution avec l’augmentation du poids moléculaire</w:t>
      </w:r>
    </w:p>
    <w:p w:rsidR="00334520" w:rsidRDefault="00334520" w:rsidP="00334520">
      <w:pPr>
        <w:ind w:left="0" w:firstLine="0"/>
      </w:pPr>
    </w:p>
    <w:p w:rsidR="00334520" w:rsidRDefault="00334520" w:rsidP="00334520">
      <w:pPr>
        <w:pStyle w:val="Titre3"/>
        <w:rPr>
          <w:b/>
        </w:rPr>
      </w:pPr>
      <w:bookmarkStart w:id="16" w:name="_Toc100607063"/>
      <w:r>
        <w:rPr>
          <w:b/>
        </w:rPr>
        <w:t>Influence de l’ionisation</w:t>
      </w:r>
      <w:bookmarkEnd w:id="16"/>
    </w:p>
    <w:p w:rsidR="00334520" w:rsidRDefault="00334520" w:rsidP="00334520">
      <w:pPr>
        <w:numPr>
          <w:ilvl w:val="0"/>
          <w:numId w:val="2"/>
        </w:numPr>
        <w:ind w:left="1440"/>
        <w:rPr>
          <w:b/>
          <w:bCs/>
          <w:u w:val="single"/>
        </w:rPr>
      </w:pPr>
      <w:r>
        <w:t xml:space="preserve">Existence de principes actifs se comportant comme des </w:t>
      </w:r>
      <w:r>
        <w:rPr>
          <w:b/>
          <w:bCs/>
          <w:u w:val="single"/>
        </w:rPr>
        <w:t>électrolytes faibles :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u w:val="single"/>
        </w:rPr>
      </w:pPr>
      <w:r>
        <w:rPr>
          <w:u w:val="single"/>
        </w:rPr>
        <w:t>Caractère acide faible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u w:val="single"/>
        </w:rPr>
      </w:pPr>
      <w:r>
        <w:rPr>
          <w:u w:val="single"/>
        </w:rPr>
        <w:t>Caractère base faible</w:t>
      </w:r>
    </w:p>
    <w:p w:rsidR="00334520" w:rsidRDefault="00334520" w:rsidP="00334520">
      <w:pPr>
        <w:numPr>
          <w:ilvl w:val="0"/>
          <w:numId w:val="2"/>
        </w:numPr>
        <w:ind w:left="1440"/>
        <w:rPr>
          <w:b/>
          <w:bCs/>
          <w:u w:val="single"/>
        </w:rPr>
      </w:pPr>
      <w:r>
        <w:t>Electrolytes faibles en milieux aqueux : deux fractions :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color w:val="FF0000"/>
          <w:u w:val="single"/>
        </w:rPr>
      </w:pPr>
      <w:r>
        <w:rPr>
          <w:color w:val="FF0000"/>
        </w:rPr>
        <w:t>Fraction ionisée soluble dans l’eau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u w:val="single"/>
        </w:rPr>
      </w:pPr>
      <w:r>
        <w:rPr>
          <w:color w:val="FF0000"/>
        </w:rPr>
        <w:t>Fraction non ionisée soluble dans les lipides</w:t>
      </w:r>
      <w:r>
        <w:rPr>
          <w:color w:val="FF0000"/>
        </w:rPr>
        <w:br/>
      </w:r>
      <w:r>
        <w:rPr>
          <w:b/>
          <w:bCs/>
          <w:u w:val="single"/>
        </w:rPr>
        <w:br/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u w:val="single"/>
        </w:rPr>
      </w:pPr>
      <w:r>
        <w:rPr>
          <w:b/>
          <w:bCs/>
          <w:u w:val="single"/>
        </w:rPr>
        <w:t>Fraction non ionisée</w:t>
      </w:r>
      <w:r>
        <w:t xml:space="preserve"> : seule capable de traverser facilement les membranes</w:t>
      </w:r>
      <w:r>
        <w:br/>
      </w:r>
    </w:p>
    <w:p w:rsidR="00334520" w:rsidRDefault="00334520" w:rsidP="00334520">
      <w:pPr>
        <w:numPr>
          <w:ilvl w:val="0"/>
          <w:numId w:val="2"/>
        </w:numPr>
        <w:ind w:left="1440"/>
        <w:rPr>
          <w:b/>
          <w:bCs/>
          <w:u w:val="single"/>
        </w:rPr>
      </w:pPr>
      <w:r>
        <w:t>Pour les PA à caractère acide faible (</w:t>
      </w:r>
      <w:r>
        <w:rPr>
          <w:i/>
          <w:iCs/>
        </w:rPr>
        <w:t>ex : avec fonction carboxylique)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u w:val="single"/>
          <w:lang w:val="en-US"/>
        </w:rPr>
      </w:pPr>
      <w:r>
        <w:rPr>
          <w:lang w:val="en-US"/>
        </w:rPr>
        <w:t>R-COOH &lt;- -&gt; R-COO</w:t>
      </w:r>
      <w:r>
        <w:rPr>
          <w:vertAlign w:val="superscript"/>
          <w:lang w:val="en-US"/>
        </w:rPr>
        <w:t>-</w:t>
      </w:r>
      <w:r>
        <w:rPr>
          <w:lang w:val="en-US"/>
        </w:rPr>
        <w:t xml:space="preserve"> + H</w:t>
      </w:r>
      <w:r>
        <w:rPr>
          <w:vertAlign w:val="superscript"/>
          <w:lang w:val="en-US"/>
        </w:rPr>
        <w:t>+</w:t>
      </w:r>
      <w:r>
        <w:rPr>
          <w:vertAlign w:val="superscript"/>
          <w:lang w:val="en-US"/>
        </w:rPr>
        <w:br/>
      </w:r>
    </w:p>
    <w:p w:rsidR="00334520" w:rsidRDefault="00334520" w:rsidP="00334520">
      <w:pPr>
        <w:numPr>
          <w:ilvl w:val="0"/>
          <w:numId w:val="2"/>
        </w:numPr>
        <w:ind w:left="1440"/>
        <w:rPr>
          <w:b/>
          <w:bCs/>
          <w:u w:val="single"/>
        </w:rPr>
      </w:pPr>
      <w:r>
        <w:t>Pour les PA à caractère base faible :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u w:val="single"/>
          <w:lang w:val="en-US"/>
        </w:rPr>
      </w:pPr>
      <w:r>
        <w:rPr>
          <w:lang w:val="en-US"/>
        </w:rPr>
        <w:t>R-NH2/Hcl &lt;- -&gt; R-NH3+ + Cl-</w:t>
      </w:r>
      <w:r>
        <w:rPr>
          <w:lang w:val="en-US"/>
        </w:rPr>
        <w:br/>
      </w:r>
    </w:p>
    <w:p w:rsidR="00334520" w:rsidRDefault="00334520" w:rsidP="00334520">
      <w:pPr>
        <w:numPr>
          <w:ilvl w:val="0"/>
          <w:numId w:val="2"/>
        </w:numPr>
        <w:ind w:left="1440"/>
        <w:rPr>
          <w:b/>
          <w:bCs/>
          <w:u w:val="single"/>
        </w:rPr>
      </w:pPr>
      <w:r>
        <w:t>Etat d’ionisation sous la dépendance de deux facteurs :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u w:val="single"/>
        </w:rPr>
      </w:pPr>
      <w:r>
        <w:t>Constante de dissociation pKa, variable selon le PA ou le médicament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u w:val="single"/>
        </w:rPr>
      </w:pPr>
      <w:r>
        <w:t>pH du milieu</w:t>
      </w:r>
      <w:r>
        <w:br/>
      </w:r>
    </w:p>
    <w:p w:rsidR="00334520" w:rsidRDefault="00334520" w:rsidP="00334520">
      <w:pPr>
        <w:numPr>
          <w:ilvl w:val="0"/>
          <w:numId w:val="2"/>
        </w:numPr>
        <w:ind w:left="1440"/>
        <w:rPr>
          <w:b/>
          <w:bCs/>
          <w:u w:val="single"/>
        </w:rPr>
      </w:pPr>
      <w:r>
        <w:t>pKa et pH liés dans l’équation de Henderson-Hasselbach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u w:val="single"/>
        </w:rPr>
      </w:pPr>
      <w:r>
        <w:t>équation de Henderson-Hasselbach</w:t>
      </w:r>
    </w:p>
    <w:p w:rsidR="00334520" w:rsidRDefault="00334520" w:rsidP="00334520">
      <w:pPr>
        <w:numPr>
          <w:ilvl w:val="2"/>
          <w:numId w:val="2"/>
        </w:numPr>
        <w:ind w:left="2880"/>
        <w:rPr>
          <w:b/>
          <w:bCs/>
          <w:u w:val="single"/>
        </w:rPr>
      </w:pPr>
      <w:r>
        <w:t>PA acide faible :</w:t>
      </w:r>
    </w:p>
    <w:p w:rsidR="00334520" w:rsidRDefault="00334520" w:rsidP="00334520">
      <w:pPr>
        <w:numPr>
          <w:ilvl w:val="3"/>
          <w:numId w:val="2"/>
        </w:numPr>
        <w:ind w:left="3600"/>
        <w:rPr>
          <w:b/>
          <w:bCs/>
          <w:u w:val="single"/>
          <w:lang w:val="en-US"/>
        </w:rPr>
      </w:pPr>
      <w:r>
        <w:rPr>
          <w:lang w:val="en-US"/>
        </w:rPr>
        <w:t xml:space="preserve">PH = pKa + log </w:t>
      </w:r>
      <w:r>
        <w:rPr>
          <w:rFonts w:ascii="Symbol" w:hAnsi="Symbol"/>
        </w:rPr>
        <w:sym w:font="Symbol" w:char="F05B"/>
      </w:r>
      <w:r>
        <w:rPr>
          <w:lang w:val="en-US"/>
        </w:rPr>
        <w:t>I</w:t>
      </w:r>
      <w:r>
        <w:rPr>
          <w:rFonts w:ascii="Symbol" w:hAnsi="Symbol"/>
        </w:rPr>
        <w:sym w:font="Symbol" w:char="F05D"/>
      </w:r>
      <w:r>
        <w:rPr>
          <w:lang w:val="en-US"/>
        </w:rPr>
        <w:t>/</w:t>
      </w:r>
      <w:r>
        <w:rPr>
          <w:rFonts w:ascii="Symbol" w:hAnsi="Symbol"/>
        </w:rPr>
        <w:sym w:font="Symbol" w:char="F05B"/>
      </w:r>
      <w:r>
        <w:rPr>
          <w:lang w:val="en-US"/>
        </w:rPr>
        <w:t>NI</w:t>
      </w:r>
      <w:r>
        <w:rPr>
          <w:rFonts w:ascii="Symbol" w:hAnsi="Symbol"/>
        </w:rPr>
        <w:sym w:font="Symbol" w:char="F05D"/>
      </w:r>
      <w:r>
        <w:rPr>
          <w:lang w:val="en-US"/>
        </w:rPr>
        <w:br/>
      </w:r>
    </w:p>
    <w:p w:rsidR="00334520" w:rsidRDefault="00334520" w:rsidP="00334520">
      <w:pPr>
        <w:numPr>
          <w:ilvl w:val="2"/>
          <w:numId w:val="2"/>
        </w:numPr>
        <w:ind w:left="2880"/>
        <w:rPr>
          <w:b/>
          <w:bCs/>
          <w:u w:val="single"/>
        </w:rPr>
      </w:pPr>
      <w:r>
        <w:t>PA base faible :</w:t>
      </w:r>
    </w:p>
    <w:p w:rsidR="00334520" w:rsidRDefault="00334520" w:rsidP="00334520">
      <w:pPr>
        <w:numPr>
          <w:ilvl w:val="3"/>
          <w:numId w:val="2"/>
        </w:numPr>
        <w:ind w:left="3600"/>
        <w:rPr>
          <w:b/>
          <w:bCs/>
          <w:u w:val="single"/>
          <w:lang w:val="en-US"/>
        </w:rPr>
      </w:pPr>
      <w:r>
        <w:rPr>
          <w:lang w:val="en-US"/>
        </w:rPr>
        <w:lastRenderedPageBreak/>
        <w:t xml:space="preserve">PH = pka + log </w:t>
      </w:r>
      <w:r>
        <w:rPr>
          <w:rFonts w:ascii="Symbol" w:hAnsi="Symbol"/>
        </w:rPr>
        <w:sym w:font="Symbol" w:char="F05B"/>
      </w:r>
      <w:r>
        <w:rPr>
          <w:lang w:val="en-US"/>
        </w:rPr>
        <w:t>NI</w:t>
      </w:r>
      <w:r>
        <w:rPr>
          <w:rFonts w:ascii="Symbol" w:hAnsi="Symbol"/>
        </w:rPr>
        <w:sym w:font="Symbol" w:char="F05D"/>
      </w:r>
      <w:r>
        <w:rPr>
          <w:lang w:val="en-US"/>
        </w:rPr>
        <w:t>/</w:t>
      </w:r>
      <w:r>
        <w:rPr>
          <w:rFonts w:ascii="Symbol" w:hAnsi="Symbol"/>
        </w:rPr>
        <w:sym w:font="Symbol" w:char="F05B"/>
      </w:r>
      <w:r>
        <w:rPr>
          <w:lang w:val="en-US"/>
        </w:rPr>
        <w:t>I</w:t>
      </w:r>
      <w:r>
        <w:rPr>
          <w:rFonts w:ascii="Symbol" w:hAnsi="Symbol"/>
        </w:rPr>
        <w:sym w:font="Symbol" w:char="F05D"/>
      </w:r>
      <w:r>
        <w:rPr>
          <w:lang w:val="en-US"/>
        </w:rPr>
        <w:br/>
      </w:r>
    </w:p>
    <w:p w:rsidR="00334520" w:rsidRDefault="00334520" w:rsidP="00334520">
      <w:pPr>
        <w:numPr>
          <w:ilvl w:val="2"/>
          <w:numId w:val="2"/>
        </w:numPr>
        <w:ind w:left="2880"/>
        <w:rPr>
          <w:b/>
          <w:bCs/>
          <w:u w:val="single"/>
        </w:rPr>
      </w:pPr>
      <w:r>
        <w:rPr>
          <w:b/>
          <w:bCs/>
          <w:u w:val="single"/>
        </w:rPr>
        <w:t>(I) :</w:t>
      </w:r>
      <w:r>
        <w:t xml:space="preserve"> fraction ionisée</w:t>
      </w:r>
    </w:p>
    <w:p w:rsidR="00334520" w:rsidRDefault="00334520" w:rsidP="00334520">
      <w:pPr>
        <w:numPr>
          <w:ilvl w:val="2"/>
          <w:numId w:val="2"/>
        </w:numPr>
        <w:ind w:left="2880"/>
        <w:rPr>
          <w:b/>
          <w:bCs/>
          <w:u w:val="single"/>
        </w:rPr>
      </w:pPr>
      <w:r>
        <w:rPr>
          <w:b/>
          <w:bCs/>
          <w:u w:val="single"/>
        </w:rPr>
        <w:t>(NI) :</w:t>
      </w:r>
      <w:r>
        <w:t xml:space="preserve"> fraction non ionisée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u w:val="single"/>
        </w:rPr>
      </w:pPr>
      <w:r>
        <w:rPr>
          <w:b/>
          <w:noProof/>
          <w:lang w:eastAsia="fr-FR"/>
        </w:rPr>
        <w:drawing>
          <wp:inline distT="0" distB="0" distL="0" distR="0">
            <wp:extent cx="5753100" cy="43053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Conséquences :</w:t>
      </w:r>
    </w:p>
    <w:p w:rsidR="00334520" w:rsidRDefault="00334520" w:rsidP="00334520">
      <w:pPr>
        <w:numPr>
          <w:ilvl w:val="2"/>
          <w:numId w:val="2"/>
        </w:numPr>
        <w:ind w:left="2880"/>
        <w:rPr>
          <w:b/>
          <w:bCs/>
          <w:color w:val="FF0000"/>
          <w:u w:val="single"/>
        </w:rPr>
      </w:pPr>
      <w:r>
        <w:rPr>
          <w:b/>
          <w:bCs/>
          <w:color w:val="FF0000"/>
        </w:rPr>
        <w:t>Forme non ionisée plus élevée à pH bas que pH élevé</w:t>
      </w:r>
    </w:p>
    <w:p w:rsidR="00334520" w:rsidRDefault="00334520" w:rsidP="00334520">
      <w:pPr>
        <w:numPr>
          <w:ilvl w:val="2"/>
          <w:numId w:val="2"/>
        </w:numPr>
        <w:ind w:left="2880"/>
        <w:rPr>
          <w:b/>
          <w:bCs/>
          <w:color w:val="FF0000"/>
          <w:u w:val="single"/>
        </w:rPr>
      </w:pPr>
      <w:r>
        <w:rPr>
          <w:b/>
          <w:bCs/>
          <w:color w:val="FF0000"/>
        </w:rPr>
        <w:t>Mouvement du PA du milieu à pH bas au milieu à pH élevé</w:t>
      </w:r>
      <w:r>
        <w:rPr>
          <w:b/>
          <w:bCs/>
          <w:color w:val="FF0000"/>
        </w:rPr>
        <w:br/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color w:val="FF0000"/>
          <w:u w:val="single"/>
        </w:rPr>
      </w:pPr>
      <w:r>
        <w:rPr>
          <w:b/>
          <w:noProof/>
          <w:color w:val="FF0000"/>
          <w:lang w:eastAsia="fr-FR"/>
        </w:rPr>
        <w:lastRenderedPageBreak/>
        <w:drawing>
          <wp:inline distT="0" distB="0" distL="0" distR="0">
            <wp:extent cx="5762625" cy="43053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color w:val="FF0000"/>
          <w:u w:val="single"/>
        </w:rPr>
      </w:pPr>
      <w:r>
        <w:rPr>
          <w:b/>
          <w:bCs/>
          <w:color w:val="000000"/>
          <w:u w:val="single"/>
        </w:rPr>
        <w:t>Conséquences :</w:t>
      </w:r>
    </w:p>
    <w:p w:rsidR="00334520" w:rsidRDefault="00334520" w:rsidP="00334520">
      <w:pPr>
        <w:numPr>
          <w:ilvl w:val="2"/>
          <w:numId w:val="2"/>
        </w:numPr>
        <w:ind w:left="2880"/>
        <w:rPr>
          <w:b/>
          <w:bCs/>
          <w:color w:val="FF0000"/>
          <w:u w:val="single"/>
        </w:rPr>
      </w:pPr>
      <w:r>
        <w:rPr>
          <w:color w:val="000000"/>
        </w:rPr>
        <w:t>Forme non ionisée plus élevée à pH élevé qu’à pH bas</w:t>
      </w:r>
    </w:p>
    <w:p w:rsidR="00334520" w:rsidRDefault="00334520" w:rsidP="00334520">
      <w:pPr>
        <w:numPr>
          <w:ilvl w:val="2"/>
          <w:numId w:val="2"/>
        </w:numPr>
        <w:ind w:left="2880"/>
        <w:rPr>
          <w:b/>
          <w:bCs/>
          <w:color w:val="FF0000"/>
          <w:u w:val="single"/>
        </w:rPr>
      </w:pPr>
      <w:r>
        <w:rPr>
          <w:color w:val="000000"/>
        </w:rPr>
        <w:t>Mouvement du PA du milieu à pH élevé vers le compartiment à pH bas</w:t>
      </w:r>
    </w:p>
    <w:p w:rsidR="00334520" w:rsidRDefault="00334520" w:rsidP="00334520">
      <w:pPr>
        <w:ind w:left="0" w:firstLine="0"/>
        <w:rPr>
          <w:b/>
          <w:bCs/>
          <w:color w:val="FF0000"/>
          <w:u w:val="single"/>
        </w:rPr>
      </w:pPr>
    </w:p>
    <w:p w:rsidR="00334520" w:rsidRDefault="00334520" w:rsidP="00334520">
      <w:pPr>
        <w:pStyle w:val="Titre3"/>
        <w:rPr>
          <w:b/>
        </w:rPr>
      </w:pPr>
      <w:bookmarkStart w:id="17" w:name="_Toc100607064"/>
      <w:r>
        <w:rPr>
          <w:b/>
        </w:rPr>
        <w:t>Influence de la liaison aux protéines :</w:t>
      </w:r>
      <w:bookmarkEnd w:id="17"/>
    </w:p>
    <w:p w:rsidR="00334520" w:rsidRDefault="00334520" w:rsidP="00334520">
      <w:pPr>
        <w:numPr>
          <w:ilvl w:val="0"/>
          <w:numId w:val="2"/>
        </w:numPr>
        <w:ind w:left="1440"/>
      </w:pPr>
      <w:r>
        <w:t>Influence de la fixation sur les protéines :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Sang, liquide interstitiel et cellules avec de nombreuses substances en solution, en particulier des protéines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Protéines :</w:t>
      </w:r>
    </w:p>
    <w:p w:rsidR="00334520" w:rsidRDefault="00334520" w:rsidP="00334520">
      <w:pPr>
        <w:numPr>
          <w:ilvl w:val="2"/>
          <w:numId w:val="2"/>
        </w:numPr>
        <w:ind w:left="2880"/>
      </w:pPr>
      <w:r>
        <w:t>Concentrations différentes dans ces deux milieux</w:t>
      </w:r>
    </w:p>
    <w:p w:rsidR="00334520" w:rsidRDefault="00334520" w:rsidP="00334520">
      <w:pPr>
        <w:numPr>
          <w:ilvl w:val="2"/>
          <w:numId w:val="2"/>
        </w:numPr>
        <w:ind w:left="2880"/>
      </w:pPr>
      <w:r>
        <w:t>Aptitude à fixer les médicaments par des liaisons de faible énergie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430530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20" w:rsidRDefault="00334520" w:rsidP="00334520">
      <w:pPr>
        <w:ind w:left="2160" w:firstLine="0"/>
      </w:pPr>
      <w:r>
        <w:t>k1/k2 = constante d’association</w:t>
      </w:r>
    </w:p>
    <w:p w:rsidR="00334520" w:rsidRDefault="00334520" w:rsidP="00334520">
      <w:pPr>
        <w:ind w:left="2160" w:firstLine="0"/>
      </w:pPr>
    </w:p>
    <w:p w:rsidR="00334520" w:rsidRDefault="00334520" w:rsidP="00334520">
      <w:pPr>
        <w:numPr>
          <w:ilvl w:val="0"/>
          <w:numId w:val="2"/>
        </w:numPr>
        <w:ind w:left="1440"/>
        <w:rPr>
          <w:b/>
          <w:bCs/>
          <w:color w:val="FF0000"/>
        </w:rPr>
      </w:pPr>
      <w:r>
        <w:rPr>
          <w:b/>
          <w:bCs/>
          <w:color w:val="FF0000"/>
        </w:rPr>
        <w:t xml:space="preserve">Médicament 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color w:val="FF0000"/>
        </w:rPr>
      </w:pPr>
      <w:r>
        <w:rPr>
          <w:b/>
          <w:bCs/>
          <w:color w:val="FF0000"/>
        </w:rPr>
        <w:t>Forme libre : seule à avoir une action et effet pharmacologique</w:t>
      </w:r>
    </w:p>
    <w:p w:rsidR="00334520" w:rsidRDefault="00334520" w:rsidP="00334520">
      <w:pPr>
        <w:numPr>
          <w:ilvl w:val="1"/>
          <w:numId w:val="2"/>
        </w:numPr>
        <w:ind w:left="2160"/>
        <w:rPr>
          <w:b/>
          <w:bCs/>
          <w:color w:val="FF0000"/>
        </w:rPr>
      </w:pPr>
      <w:r>
        <w:rPr>
          <w:b/>
          <w:bCs/>
          <w:color w:val="FF0000"/>
        </w:rPr>
        <w:t>Forme liée : grosse molécule non diffusible, n’exerce pas d’action ni effet pharmacologique</w:t>
      </w:r>
    </w:p>
    <w:p w:rsidR="00334520" w:rsidRDefault="00334520" w:rsidP="00334520">
      <w:pPr>
        <w:ind w:left="0" w:firstLine="0"/>
        <w:rPr>
          <w:b/>
          <w:bCs/>
          <w:color w:val="FF0000"/>
        </w:rPr>
      </w:pPr>
    </w:p>
    <w:p w:rsidR="00334520" w:rsidRDefault="00334520" w:rsidP="00334520">
      <w:pPr>
        <w:numPr>
          <w:ilvl w:val="0"/>
          <w:numId w:val="2"/>
        </w:numPr>
        <w:ind w:left="1440"/>
        <w:rPr>
          <w:i/>
          <w:iCs/>
        </w:rPr>
      </w:pPr>
      <w:r>
        <w:t xml:space="preserve">Pourcentage de liaison différent de part et d’autre de la membrane 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 xml:space="preserve">Equilibre ateinte : différence de concentration en faveur du milieu où </w:t>
      </w:r>
      <w:r>
        <w:rPr>
          <w:u w:val="single"/>
        </w:rPr>
        <w:t>la liaison est la plus importante</w:t>
      </w:r>
    </w:p>
    <w:p w:rsidR="00334520" w:rsidRDefault="00334520" w:rsidP="00334520">
      <w:pPr>
        <w:ind w:firstLine="0"/>
      </w:pPr>
    </w:p>
    <w:p w:rsidR="00334520" w:rsidRDefault="00334520" w:rsidP="00334520">
      <w:pPr>
        <w:ind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53100" cy="43053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20" w:rsidRDefault="00334520" w:rsidP="00334520">
      <w:pPr>
        <w:ind w:firstLine="0"/>
      </w:pPr>
    </w:p>
    <w:p w:rsidR="00334520" w:rsidRDefault="00334520" w:rsidP="00334520">
      <w:pPr>
        <w:pStyle w:val="Titre2"/>
        <w:rPr>
          <w:b/>
        </w:rPr>
      </w:pPr>
      <w:bookmarkStart w:id="18" w:name="_Toc100607065"/>
      <w:bookmarkStart w:id="19" w:name="_Toc100286801"/>
      <w:r>
        <w:rPr>
          <w:b/>
        </w:rPr>
        <w:t>UTILISATION DE TRANSPORTEUR</w:t>
      </w:r>
      <w:bookmarkEnd w:id="18"/>
      <w:bookmarkEnd w:id="19"/>
    </w:p>
    <w:p w:rsidR="00334520" w:rsidRDefault="00334520" w:rsidP="00334520">
      <w:pPr>
        <w:numPr>
          <w:ilvl w:val="0"/>
          <w:numId w:val="2"/>
        </w:numPr>
        <w:ind w:left="1440"/>
      </w:pPr>
      <w:r>
        <w:t>Diffusion facilitée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Transport actif</w:t>
      </w:r>
    </w:p>
    <w:p w:rsidR="00334520" w:rsidRDefault="00334520" w:rsidP="00334520">
      <w:pPr>
        <w:ind w:left="0" w:firstLine="0"/>
      </w:pPr>
    </w:p>
    <w:p w:rsidR="00334520" w:rsidRDefault="00334520" w:rsidP="00334520">
      <w:pPr>
        <w:pStyle w:val="Titre3"/>
        <w:rPr>
          <w:b/>
        </w:rPr>
      </w:pPr>
      <w:bookmarkStart w:id="20" w:name="_Toc100607066"/>
      <w:r>
        <w:rPr>
          <w:b/>
        </w:rPr>
        <w:t>Diffusion facilitée</w:t>
      </w:r>
      <w:bookmarkEnd w:id="20"/>
    </w:p>
    <w:p w:rsidR="00334520" w:rsidRDefault="00334520" w:rsidP="00334520">
      <w:pPr>
        <w:numPr>
          <w:ilvl w:val="0"/>
          <w:numId w:val="2"/>
        </w:numPr>
        <w:ind w:left="1440"/>
      </w:pPr>
      <w:r>
        <w:rPr>
          <w:b/>
          <w:bCs/>
        </w:rPr>
        <w:t xml:space="preserve">Diffusion passive </w:t>
      </w:r>
      <w:r>
        <w:t>mais faisant intervenir des protéines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Absence d’utilisation d’énergie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Ce mode de passage est un phénomène spécifique et régulé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430530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20" w:rsidRDefault="00334520" w:rsidP="00334520">
      <w:pPr>
        <w:ind w:left="0" w:firstLine="0"/>
      </w:pPr>
    </w:p>
    <w:p w:rsidR="00334520" w:rsidRDefault="00334520" w:rsidP="00334520">
      <w:pPr>
        <w:pStyle w:val="Titre3"/>
        <w:rPr>
          <w:b/>
        </w:rPr>
      </w:pPr>
      <w:bookmarkStart w:id="21" w:name="_Toc100607067"/>
      <w:r>
        <w:rPr>
          <w:b/>
        </w:rPr>
        <w:t>Transport actif</w:t>
      </w:r>
      <w:bookmarkEnd w:id="21"/>
    </w:p>
    <w:p w:rsidR="00334520" w:rsidRDefault="00334520" w:rsidP="00334520">
      <w:pPr>
        <w:numPr>
          <w:ilvl w:val="0"/>
          <w:numId w:val="2"/>
        </w:numPr>
        <w:ind w:left="1440"/>
        <w:rPr>
          <w:b/>
          <w:bCs/>
        </w:rPr>
      </w:pPr>
      <w:r>
        <w:t xml:space="preserve">Intervention d’une protéine transporteuse plus ou moins spécifique </w:t>
      </w:r>
      <w:r>
        <w:rPr>
          <w:b/>
          <w:bCs/>
        </w:rPr>
        <w:t>nécessitant une consommation d’énergie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Contribution dans le maintien de la différence de concentration de solutés ou de médicaments de part et d’autre d’une membrane (moins concentré -&gt; plus concentré)</w:t>
      </w:r>
    </w:p>
    <w:p w:rsidR="00334520" w:rsidRDefault="00334520" w:rsidP="00334520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43148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20" w:rsidRDefault="00334520" w:rsidP="00334520">
      <w:pPr>
        <w:pStyle w:val="Titre2"/>
        <w:rPr>
          <w:b/>
        </w:rPr>
      </w:pPr>
      <w:bookmarkStart w:id="22" w:name="_Toc100607068"/>
      <w:bookmarkStart w:id="23" w:name="_Toc100286802"/>
      <w:r>
        <w:rPr>
          <w:b/>
        </w:rPr>
        <w:t>CONCLUSION</w:t>
      </w:r>
      <w:bookmarkEnd w:id="22"/>
      <w:bookmarkEnd w:id="23"/>
    </w:p>
    <w:p w:rsidR="00334520" w:rsidRDefault="00334520" w:rsidP="00334520">
      <w:pPr>
        <w:numPr>
          <w:ilvl w:val="0"/>
          <w:numId w:val="2"/>
        </w:numPr>
        <w:ind w:left="1440"/>
      </w:pPr>
      <w:r>
        <w:t>Membrane biologique : rôle de barrière</w:t>
      </w:r>
    </w:p>
    <w:p w:rsidR="00334520" w:rsidRDefault="00334520" w:rsidP="00334520">
      <w:pPr>
        <w:numPr>
          <w:ilvl w:val="0"/>
          <w:numId w:val="2"/>
        </w:numPr>
        <w:ind w:left="1440"/>
      </w:pPr>
      <w:r>
        <w:t>Membrane biologique permet le passage de médicaments par :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Passage transcellulaire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Passage paracellulaire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Endocytose-exocytose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 xml:space="preserve">Filtration 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Diffusion passive</w:t>
      </w:r>
    </w:p>
    <w:p w:rsidR="00334520" w:rsidRDefault="00334520" w:rsidP="00334520">
      <w:pPr>
        <w:numPr>
          <w:ilvl w:val="1"/>
          <w:numId w:val="2"/>
        </w:numPr>
        <w:ind w:left="2160"/>
      </w:pPr>
      <w:r>
        <w:t>Utilisation de transporteur</w:t>
      </w:r>
    </w:p>
    <w:p w:rsidR="00A61BBB" w:rsidRDefault="00A61BBB"/>
    <w:sectPr w:rsidR="00A61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B68AA"/>
    <w:multiLevelType w:val="multilevel"/>
    <w:tmpl w:val="55343AA0"/>
    <w:numStyleLink w:val="ListeNyA"/>
  </w:abstractNum>
  <w:abstractNum w:abstractNumId="1" w15:restartNumberingAfterBreak="0">
    <w:nsid w:val="53681573"/>
    <w:multiLevelType w:val="hybridMultilevel"/>
    <w:tmpl w:val="0BAC35B2"/>
    <w:lvl w:ilvl="0" w:tplc="54967C6E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cs="Times New Roman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28E"/>
    <w:rsid w:val="0017431E"/>
    <w:rsid w:val="00334520"/>
    <w:rsid w:val="0074228E"/>
    <w:rsid w:val="0091286F"/>
    <w:rsid w:val="00994FB4"/>
    <w:rsid w:val="00A61BBB"/>
    <w:rsid w:val="00C1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44E972-6DD2-425E-9CF4-13A4F471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520"/>
    <w:pPr>
      <w:spacing w:line="276" w:lineRule="auto"/>
      <w:ind w:left="720" w:hanging="360"/>
    </w:pPr>
    <w:rPr>
      <w:rFonts w:ascii="Arial" w:hAnsi="Arial"/>
      <w:color w:val="000000" w:themeColor="text1"/>
      <w:sz w:val="24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semiHidden/>
    <w:unhideWhenUsed/>
    <w:qFormat/>
    <w:rsid w:val="00334520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semiHidden/>
    <w:unhideWhenUsed/>
    <w:qFormat/>
    <w:rsid w:val="00334520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color w:val="1F4E79" w:themeColor="accent1" w:themeShade="80"/>
      <w:sz w:val="28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Niveau 1 Car"/>
    <w:basedOn w:val="Policepardfaut"/>
    <w:link w:val="Titre2"/>
    <w:uiPriority w:val="9"/>
    <w:semiHidden/>
    <w:rsid w:val="00334520"/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semiHidden/>
    <w:rsid w:val="00334520"/>
    <w:rPr>
      <w:rFonts w:ascii="Calibri Light" w:eastAsiaTheme="majorEastAsia" w:hAnsi="Calibri Light" w:cstheme="majorBidi"/>
      <w:color w:val="1F4E79" w:themeColor="accent1" w:themeShade="80"/>
      <w:sz w:val="28"/>
      <w:szCs w:val="24"/>
      <w:u w:val="single"/>
    </w:rPr>
  </w:style>
  <w:style w:type="paragraph" w:customStyle="1" w:styleId="GrandtitreTitre">
    <w:name w:val="Grand titre  (Titre)"/>
    <w:basedOn w:val="Normal"/>
    <w:uiPriority w:val="99"/>
    <w:rsid w:val="00334520"/>
    <w:pPr>
      <w:numPr>
        <w:numId w:val="1"/>
      </w:numPr>
    </w:pPr>
  </w:style>
  <w:style w:type="paragraph" w:customStyle="1" w:styleId="Niveau1Titre2">
    <w:name w:val="Niveau 1  (Titre 2)"/>
    <w:basedOn w:val="Normal"/>
    <w:uiPriority w:val="99"/>
    <w:rsid w:val="00334520"/>
    <w:pPr>
      <w:numPr>
        <w:ilvl w:val="1"/>
        <w:numId w:val="1"/>
      </w:numPr>
    </w:pPr>
  </w:style>
  <w:style w:type="paragraph" w:customStyle="1" w:styleId="Niveau2Titre3">
    <w:name w:val="Niveau 2  (Titre 3)"/>
    <w:basedOn w:val="Normal"/>
    <w:uiPriority w:val="99"/>
    <w:rsid w:val="00334520"/>
    <w:pPr>
      <w:numPr>
        <w:ilvl w:val="2"/>
        <w:numId w:val="1"/>
      </w:numPr>
    </w:pPr>
  </w:style>
  <w:style w:type="paragraph" w:customStyle="1" w:styleId="Niveau3Titre4">
    <w:name w:val="Niveau 3  (Titre 4)"/>
    <w:basedOn w:val="Normal"/>
    <w:uiPriority w:val="99"/>
    <w:rsid w:val="00334520"/>
    <w:pPr>
      <w:numPr>
        <w:ilvl w:val="3"/>
        <w:numId w:val="1"/>
      </w:numPr>
    </w:pPr>
  </w:style>
  <w:style w:type="paragraph" w:customStyle="1" w:styleId="Niveau4Titre5">
    <w:name w:val="Niveau 4  (Titre 5)"/>
    <w:basedOn w:val="Normal"/>
    <w:uiPriority w:val="99"/>
    <w:rsid w:val="00334520"/>
    <w:pPr>
      <w:numPr>
        <w:ilvl w:val="4"/>
        <w:numId w:val="1"/>
      </w:numPr>
    </w:pPr>
  </w:style>
  <w:style w:type="paragraph" w:customStyle="1" w:styleId="Niveau5Titre6">
    <w:name w:val="Niveau 5  (Titre 6)"/>
    <w:basedOn w:val="Normal"/>
    <w:uiPriority w:val="99"/>
    <w:rsid w:val="00334520"/>
    <w:pPr>
      <w:numPr>
        <w:ilvl w:val="5"/>
        <w:numId w:val="1"/>
      </w:numPr>
    </w:pPr>
  </w:style>
  <w:style w:type="paragraph" w:customStyle="1" w:styleId="Niveau6Titre7">
    <w:name w:val="Niveau 6  (Titre 7)"/>
    <w:basedOn w:val="Normal"/>
    <w:uiPriority w:val="99"/>
    <w:rsid w:val="00334520"/>
    <w:pPr>
      <w:numPr>
        <w:ilvl w:val="6"/>
        <w:numId w:val="1"/>
      </w:numPr>
    </w:p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334520"/>
    <w:pPr>
      <w:pBdr>
        <w:top w:val="single" w:sz="8" w:space="1" w:color="5B9BD5" w:themeColor="accent1"/>
        <w:bottom w:val="single" w:sz="8" w:space="1" w:color="5B9BD5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33452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styleId="Marquedecommentaire">
    <w:name w:val="annotation reference"/>
    <w:basedOn w:val="Policepardfaut"/>
    <w:uiPriority w:val="99"/>
    <w:semiHidden/>
    <w:unhideWhenUsed/>
    <w:rsid w:val="00334520"/>
    <w:rPr>
      <w:sz w:val="16"/>
      <w:szCs w:val="16"/>
    </w:rPr>
  </w:style>
  <w:style w:type="numbering" w:customStyle="1" w:styleId="ListeNyA">
    <w:name w:val="Liste NyA"/>
    <w:uiPriority w:val="99"/>
    <w:rsid w:val="00334520"/>
    <w:pPr>
      <w:numPr>
        <w:numId w:val="3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345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4520"/>
    <w:rPr>
      <w:rFonts w:ascii="Segoe UI" w:hAnsi="Segoe UI" w:cs="Segoe U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40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1059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2024-04-10T09:23:00Z</dcterms:created>
  <dcterms:modified xsi:type="dcterms:W3CDTF">2024-04-10T09:37:00Z</dcterms:modified>
</cp:coreProperties>
</file>