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0910" w14:textId="77777777" w:rsidR="008131B0" w:rsidRDefault="005A44BD" w:rsidP="005A44BD">
      <w:pPr>
        <w:pStyle w:val="Titre"/>
      </w:pPr>
      <w:r>
        <w:t xml:space="preserve">PHARMACOLOGIE DE LA FEMME ENCEINTE </w:t>
      </w:r>
    </w:p>
    <w:p w14:paraId="53677464" w14:textId="77777777" w:rsidR="008131B0" w:rsidRDefault="008131B0">
      <w:pPr>
        <w:rPr>
          <w:b/>
          <w:sz w:val="44"/>
          <w:szCs w:val="44"/>
        </w:rPr>
      </w:pPr>
    </w:p>
    <w:p w14:paraId="42E90867" w14:textId="77777777" w:rsidR="008131B0" w:rsidRDefault="005A44BD" w:rsidP="005A44BD">
      <w:pPr>
        <w:pStyle w:val="Titre1"/>
      </w:pPr>
      <w:r>
        <w:t xml:space="preserve">INTRODUCTION </w:t>
      </w:r>
    </w:p>
    <w:p w14:paraId="00F43CBA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G</w:t>
      </w:r>
      <w:r>
        <w:rPr>
          <w:color w:val="000000"/>
          <w:sz w:val="32"/>
          <w:szCs w:val="32"/>
        </w:rPr>
        <w:t xml:space="preserve">rossesse : Situation normale au cours de laquelle la </w:t>
      </w:r>
      <w:proofErr w:type="gramStart"/>
      <w:r>
        <w:rPr>
          <w:color w:val="000000"/>
          <w:sz w:val="32"/>
          <w:szCs w:val="32"/>
        </w:rPr>
        <w:t>femme  →</w:t>
      </w:r>
      <w:proofErr w:type="gramEnd"/>
      <w:r>
        <w:rPr>
          <w:color w:val="000000"/>
          <w:sz w:val="32"/>
          <w:szCs w:val="32"/>
        </w:rPr>
        <w:t xml:space="preserve"> devoir faire face à des besoins supplémentaires, tant au niveau de ses propres tissus qu’à ceux du fœtus </w:t>
      </w:r>
    </w:p>
    <w:p w14:paraId="34CA4EDD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Femme enceinte : Changement métabolique et physiologique progressifs </w:t>
      </w:r>
    </w:p>
    <w:p w14:paraId="50403CF7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D’un côté : Fourn</w:t>
      </w:r>
      <w:r>
        <w:rPr>
          <w:color w:val="000000"/>
          <w:sz w:val="32"/>
          <w:szCs w:val="32"/>
        </w:rPr>
        <w:t xml:space="preserve">ir au fœtus un environnement intra utérine adapté à son développement / évolution et des substances indispensables à </w:t>
      </w:r>
      <w:proofErr w:type="gramStart"/>
      <w:r>
        <w:rPr>
          <w:color w:val="000000"/>
          <w:sz w:val="32"/>
          <w:szCs w:val="32"/>
        </w:rPr>
        <w:t>sa  croissance</w:t>
      </w:r>
      <w:proofErr w:type="gramEnd"/>
      <w:r>
        <w:rPr>
          <w:color w:val="000000"/>
          <w:sz w:val="32"/>
          <w:szCs w:val="32"/>
        </w:rPr>
        <w:t xml:space="preserve"> </w:t>
      </w:r>
    </w:p>
    <w:p w14:paraId="4B6FBC6A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De l’autre côté : Satisfaire à </w:t>
      </w:r>
      <w:proofErr w:type="gramStart"/>
      <w:r>
        <w:rPr>
          <w:color w:val="000000"/>
          <w:sz w:val="32"/>
          <w:szCs w:val="32"/>
        </w:rPr>
        <w:t>sa propres besoins</w:t>
      </w:r>
      <w:proofErr w:type="gramEnd"/>
      <w:r>
        <w:rPr>
          <w:color w:val="000000"/>
          <w:sz w:val="32"/>
          <w:szCs w:val="32"/>
        </w:rPr>
        <w:t xml:space="preserve"> </w:t>
      </w:r>
    </w:p>
    <w:p w14:paraId="189C073A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Changement ayant une influence sur le devenir et l’effet du médicament (</w:t>
      </w:r>
      <w:r>
        <w:rPr>
          <w:color w:val="000000"/>
          <w:sz w:val="32"/>
          <w:szCs w:val="32"/>
        </w:rPr>
        <w:t>Modification profonde des paramètres pharmacocinétiques de la femme enceinte)</w:t>
      </w:r>
    </w:p>
    <w:p w14:paraId="34CDF1F2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Importance d’une bonne connaissance de la pharmacologie de la femme enceinte </w:t>
      </w:r>
    </w:p>
    <w:p w14:paraId="5BC79B64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Administration de médicament à la femme enceinte : Risque d’avoir des répercussions sur l’embryon et</w:t>
      </w:r>
      <w:r>
        <w:rPr>
          <w:color w:val="000000"/>
          <w:sz w:val="32"/>
          <w:szCs w:val="32"/>
        </w:rPr>
        <w:t xml:space="preserve"> le fœtus </w:t>
      </w:r>
    </w:p>
    <w:p w14:paraId="13A13A4D" w14:textId="77777777" w:rsidR="008131B0" w:rsidRDefault="008131B0">
      <w:pPr>
        <w:rPr>
          <w:sz w:val="32"/>
          <w:szCs w:val="32"/>
        </w:rPr>
      </w:pPr>
    </w:p>
    <w:p w14:paraId="2B464FD3" w14:textId="77777777" w:rsidR="008131B0" w:rsidRDefault="005A44BD" w:rsidP="005A44BD">
      <w:pPr>
        <w:pStyle w:val="Titre2"/>
      </w:pPr>
      <w:r>
        <w:t xml:space="preserve">Intérêts </w:t>
      </w:r>
    </w:p>
    <w:p w14:paraId="43711FCD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sz w:val="32"/>
          <w:szCs w:val="32"/>
        </w:rPr>
        <w:t xml:space="preserve">Effets indesirables </w:t>
      </w:r>
      <w:r>
        <w:rPr>
          <w:color w:val="000000"/>
          <w:sz w:val="32"/>
          <w:szCs w:val="32"/>
        </w:rPr>
        <w:t>nombreux suite à une prescription de médicament chez la femme enceinte (Affectant la femme mais surtout le produit de la conception)</w:t>
      </w:r>
    </w:p>
    <w:p w14:paraId="65DDE69E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Impacts importants sur l’embryon, fœtus, nouveau-né (Immédiats, moyen terme, long terme)</w:t>
      </w:r>
    </w:p>
    <w:p w14:paraId="0CE531DD" w14:textId="2CD34389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Rationalisation de la prescription</w:t>
      </w:r>
      <w:r>
        <w:rPr>
          <w:color w:val="000000"/>
          <w:sz w:val="32"/>
          <w:szCs w:val="32"/>
        </w:rPr>
        <w:t xml:space="preserve"> des médicaments chez la femme enceinte </w:t>
      </w:r>
    </w:p>
    <w:p w14:paraId="4FB6A56E" w14:textId="77777777" w:rsidR="008131B0" w:rsidRDefault="005A44BD" w:rsidP="005A44BD">
      <w:pPr>
        <w:pStyle w:val="Titre2"/>
      </w:pPr>
      <w:r>
        <w:t xml:space="preserve">Objectifs </w:t>
      </w:r>
    </w:p>
    <w:p w14:paraId="2CF54501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Citer les changements physiologiques observés chez la femme enceinte </w:t>
      </w:r>
    </w:p>
    <w:p w14:paraId="5864FB3F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Donner les répercussions de ces changements sur l’absorption, distribution, métabolisme et </w:t>
      </w:r>
      <w:proofErr w:type="gramStart"/>
      <w:r>
        <w:rPr>
          <w:color w:val="000000"/>
          <w:sz w:val="32"/>
          <w:szCs w:val="32"/>
        </w:rPr>
        <w:t>l’élimination  des</w:t>
      </w:r>
      <w:proofErr w:type="gramEnd"/>
      <w:r>
        <w:rPr>
          <w:color w:val="000000"/>
          <w:sz w:val="32"/>
          <w:szCs w:val="32"/>
        </w:rPr>
        <w:t xml:space="preserve"> médicaments  chez la fe</w:t>
      </w:r>
      <w:r>
        <w:rPr>
          <w:color w:val="000000"/>
          <w:sz w:val="32"/>
          <w:szCs w:val="32"/>
        </w:rPr>
        <w:t xml:space="preserve">mme enceinte </w:t>
      </w:r>
    </w:p>
    <w:p w14:paraId="35078F75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Citer les médicaments qui peuvent être prescrits chez une femme enceinte et les médicaments à proscrire</w:t>
      </w:r>
    </w:p>
    <w:p w14:paraId="7E1740BC" w14:textId="77777777" w:rsidR="008131B0" w:rsidRDefault="008131B0">
      <w:pPr>
        <w:rPr>
          <w:sz w:val="32"/>
          <w:szCs w:val="32"/>
        </w:rPr>
      </w:pPr>
    </w:p>
    <w:p w14:paraId="5D1B6634" w14:textId="77777777" w:rsidR="008131B0" w:rsidRDefault="005A44BD" w:rsidP="005A44BD">
      <w:pPr>
        <w:pStyle w:val="Titre1"/>
      </w:pPr>
      <w:r>
        <w:t xml:space="preserve">PHARMACOCINETIQUE </w:t>
      </w:r>
    </w:p>
    <w:p w14:paraId="7F2CC71B" w14:textId="77777777" w:rsidR="008131B0" w:rsidRDefault="005A44BD" w:rsidP="005A44BD">
      <w:pPr>
        <w:pStyle w:val="Titre2"/>
      </w:pPr>
      <w:r>
        <w:t xml:space="preserve">ABSORPTION </w:t>
      </w:r>
    </w:p>
    <w:tbl>
      <w:tblPr>
        <w:tblStyle w:val="a"/>
        <w:tblW w:w="935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686"/>
        <w:gridCol w:w="4247"/>
      </w:tblGrid>
      <w:tr w:rsidR="008131B0" w14:paraId="140FFE63" w14:textId="77777777">
        <w:tc>
          <w:tcPr>
            <w:tcW w:w="1418" w:type="dxa"/>
          </w:tcPr>
          <w:p w14:paraId="73DF5E6D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B36731B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Modifications</w:t>
            </w:r>
          </w:p>
        </w:tc>
        <w:tc>
          <w:tcPr>
            <w:tcW w:w="4247" w:type="dxa"/>
          </w:tcPr>
          <w:p w14:paraId="52EAC838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Conséquences</w:t>
            </w:r>
          </w:p>
        </w:tc>
      </w:tr>
      <w:tr w:rsidR="008131B0" w14:paraId="4D0B6C21" w14:textId="77777777">
        <w:tc>
          <w:tcPr>
            <w:tcW w:w="1418" w:type="dxa"/>
          </w:tcPr>
          <w:p w14:paraId="449EE0F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Estomac</w:t>
            </w:r>
          </w:p>
        </w:tc>
        <w:tc>
          <w:tcPr>
            <w:tcW w:w="3686" w:type="dxa"/>
          </w:tcPr>
          <w:p w14:paraId="1E299576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-Utérus gravide entraine une compression de l‘estomac</w:t>
            </w:r>
          </w:p>
          <w:p w14:paraId="3C57A403" w14:textId="77777777" w:rsidR="008131B0" w:rsidRDefault="008131B0">
            <w:pPr>
              <w:rPr>
                <w:sz w:val="24"/>
                <w:szCs w:val="24"/>
              </w:rPr>
            </w:pPr>
          </w:p>
          <w:p w14:paraId="093BE042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-Vidange retardée liée à l’↑ de progestérone pendant la grossesse</w:t>
            </w:r>
          </w:p>
          <w:p w14:paraId="5916FD4C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(Pratiquement nulle pendant le travail)</w:t>
            </w:r>
          </w:p>
          <w:p w14:paraId="620024B9" w14:textId="77777777" w:rsidR="008131B0" w:rsidRDefault="008131B0">
            <w:pPr>
              <w:rPr>
                <w:sz w:val="24"/>
                <w:szCs w:val="24"/>
              </w:rPr>
            </w:pPr>
          </w:p>
          <w:p w14:paraId="3A8DBE6D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-↓ motilité d’environ 50%</w:t>
            </w:r>
          </w:p>
          <w:p w14:paraId="6ACF20AE" w14:textId="77777777" w:rsidR="008131B0" w:rsidRDefault="008131B0">
            <w:pPr>
              <w:rPr>
                <w:sz w:val="24"/>
                <w:szCs w:val="24"/>
              </w:rPr>
            </w:pPr>
          </w:p>
          <w:p w14:paraId="27259F2F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↓</w:t>
            </w:r>
            <w:r>
              <w:rPr>
                <w:sz w:val="24"/>
                <w:szCs w:val="24"/>
              </w:rPr>
              <w:t xml:space="preserve"> de sécrétion gastrique acide de 40% →</w:t>
            </w:r>
            <w:r>
              <w:rPr>
                <w:sz w:val="24"/>
                <w:szCs w:val="24"/>
              </w:rPr>
              <w:t>↑</w:t>
            </w:r>
            <w:r>
              <w:rPr>
                <w:sz w:val="24"/>
                <w:szCs w:val="24"/>
              </w:rPr>
              <w:t xml:space="preserve"> pH gastrique </w:t>
            </w:r>
          </w:p>
          <w:p w14:paraId="69589E2C" w14:textId="77777777" w:rsidR="008131B0" w:rsidRDefault="008131B0">
            <w:pPr>
              <w:rPr>
                <w:sz w:val="24"/>
                <w:szCs w:val="24"/>
              </w:rPr>
            </w:pPr>
          </w:p>
          <w:p w14:paraId="07B8DE7F" w14:textId="77777777" w:rsidR="008131B0" w:rsidRDefault="005A44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-Nausées e</w:t>
            </w:r>
            <w:r>
              <w:rPr>
                <w:sz w:val="24"/>
                <w:szCs w:val="24"/>
              </w:rPr>
              <w:t>t vomissement (Signes sympathiques)</w:t>
            </w:r>
          </w:p>
        </w:tc>
        <w:tc>
          <w:tcPr>
            <w:tcW w:w="4247" w:type="dxa"/>
          </w:tcPr>
          <w:p w14:paraId="5A3C5FD0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-↑absorption des médicaments (Même produits peu solubles)</w:t>
            </w:r>
          </w:p>
          <w:p w14:paraId="593498CF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51D72CC4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-Retard de l’absorption des médicaments au niveau du grêle</w:t>
            </w:r>
          </w:p>
          <w:p w14:paraId="46DD46CD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31F1FA05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-Influence sur l’ionisation des médicaments à caractère acide ou base faible et donc leur passage membranaire</w:t>
            </w:r>
          </w:p>
          <w:p w14:paraId="2B11599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53A71CDF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-↑dégradation des médicaments métabolisés au niveau de la muqueuse gastrique </w:t>
            </w:r>
          </w:p>
        </w:tc>
      </w:tr>
      <w:tr w:rsidR="008131B0" w14:paraId="0CC8E3E2" w14:textId="77777777">
        <w:tc>
          <w:tcPr>
            <w:tcW w:w="1418" w:type="dxa"/>
          </w:tcPr>
          <w:p w14:paraId="4A401504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Intestin</w:t>
            </w:r>
          </w:p>
        </w:tc>
        <w:tc>
          <w:tcPr>
            <w:tcW w:w="3686" w:type="dxa"/>
          </w:tcPr>
          <w:p w14:paraId="17730AEE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-↓ motilité intestinale suite à l’augmentation de progestérone</w:t>
            </w:r>
          </w:p>
        </w:tc>
        <w:tc>
          <w:tcPr>
            <w:tcW w:w="4247" w:type="dxa"/>
          </w:tcPr>
          <w:p w14:paraId="33770316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-Absorption favorisée des médicaments absorbés au niveau de l’intestin </w:t>
            </w:r>
          </w:p>
          <w:p w14:paraId="77BE266D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54D50FB8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-↑ dégradation des médicaments qui peuvent être métabolisés au niveau intestinal </w:t>
            </w:r>
          </w:p>
        </w:tc>
      </w:tr>
      <w:tr w:rsidR="008131B0" w14:paraId="225DEEF1" w14:textId="77777777">
        <w:tc>
          <w:tcPr>
            <w:tcW w:w="1418" w:type="dxa"/>
          </w:tcPr>
          <w:p w14:paraId="11DB0702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Poumons</w:t>
            </w:r>
          </w:p>
          <w:p w14:paraId="1AA88A28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4EC8DD5F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0AE1723C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05E830C8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37A418FC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2D5F5B75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3E445E2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Poumons</w:t>
            </w:r>
          </w:p>
        </w:tc>
        <w:tc>
          <w:tcPr>
            <w:tcW w:w="3686" w:type="dxa"/>
          </w:tcPr>
          <w:p w14:paraId="5FDD2FBF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-↑Volume respiratoire par min de 40%</w:t>
            </w:r>
          </w:p>
          <w:p w14:paraId="437D9EF5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4547FE6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-↑ventilation alvéolaire de 40%</w:t>
            </w:r>
          </w:p>
          <w:p w14:paraId="75F7E113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41829B6D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4A917273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-↓ respiration abdominale car limitation de la course diaphragmatique (Mouv) due à l’utérus gravidique</w:t>
            </w:r>
          </w:p>
          <w:p w14:paraId="48E0750D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65F7544E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-FR inchangée</w:t>
            </w:r>
          </w:p>
          <w:p w14:paraId="5C6A1358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6C74FD18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-↓Capacité résiduelle fonctionnelle</w:t>
            </w:r>
          </w:p>
          <w:p w14:paraId="5F1E71A9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2DFB489F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-↑Flux sanguin cardiaque de </w:t>
            </w:r>
            <w:r>
              <w:rPr>
                <w:color w:val="000000"/>
                <w:sz w:val="24"/>
                <w:szCs w:val="24"/>
              </w:rPr>
              <w:t>30%</w:t>
            </w:r>
          </w:p>
          <w:p w14:paraId="1C1DC8A4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3DA6FCFE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-↑perfusion pulmonaire de 30%</w:t>
            </w:r>
          </w:p>
        </w:tc>
        <w:tc>
          <w:tcPr>
            <w:tcW w:w="4247" w:type="dxa"/>
          </w:tcPr>
          <w:p w14:paraId="4A4465B4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-Amélioration de la résorption alvéolaire des produits gazeux </w:t>
            </w:r>
          </w:p>
          <w:p w14:paraId="3CFE8488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0B2F1C97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296895C3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2C462991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1AB55D58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-Apport et mélange des substances volatiles au niveau alvéolaire plus efficaces, avec atteinte plus rapide de concentration plus élevée, particulièrement les substances volatiles</w:t>
            </w:r>
          </w:p>
          <w:p w14:paraId="3ACABF41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0F17E2A1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-Vitesse d’équilibration des substances volatiles peu solubles accélérée (a</w:t>
            </w:r>
            <w:r>
              <w:rPr>
                <w:color w:val="000000"/>
                <w:sz w:val="24"/>
                <w:szCs w:val="24"/>
              </w:rPr>
              <w:t xml:space="preserve">vec ↑ du flux sanguin) </w:t>
            </w:r>
          </w:p>
        </w:tc>
      </w:tr>
      <w:tr w:rsidR="008131B0" w14:paraId="4A207510" w14:textId="77777777">
        <w:tc>
          <w:tcPr>
            <w:tcW w:w="1418" w:type="dxa"/>
          </w:tcPr>
          <w:p w14:paraId="08A44CBA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Muqueuse et extrémité</w:t>
            </w:r>
          </w:p>
        </w:tc>
        <w:tc>
          <w:tcPr>
            <w:tcW w:w="3686" w:type="dxa"/>
          </w:tcPr>
          <w:p w14:paraId="22201F63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-↑ Flux (Débit) sanguin </w:t>
            </w:r>
          </w:p>
          <w:p w14:paraId="4560EC0F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324CE626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-Finesse de la peau selon les parties du corps favorisant le passage (Ex : Abdo)</w:t>
            </w:r>
          </w:p>
          <w:p w14:paraId="4B260C75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0DB8B761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-Etat d’hydratation du stratum cornéum en ↑ au cours de la grossesse</w:t>
            </w:r>
          </w:p>
          <w:p w14:paraId="025FB3AC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2C7C8023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-Occlusion et température locale ↑ favorisent le passage </w:t>
            </w:r>
          </w:p>
          <w:p w14:paraId="3F4C9077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774EF63A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-Variation des flux sanguins locaux au cours de la grossesse </w:t>
            </w:r>
          </w:p>
        </w:tc>
        <w:tc>
          <w:tcPr>
            <w:tcW w:w="4247" w:type="dxa"/>
          </w:tcPr>
          <w:p w14:paraId="2B48F67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-Poids moléculaire bas : bon passage</w:t>
            </w:r>
          </w:p>
          <w:p w14:paraId="29244CE9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70A74F06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-Absorption potentielle à la surface exposée </w:t>
            </w:r>
          </w:p>
          <w:p w14:paraId="5D8F84DA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65E879C8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-Médicaments dans une topique → absorption et résorption plus rapides</w:t>
            </w:r>
          </w:p>
          <w:p w14:paraId="2294DEA6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442E5CD9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-Absorption accrue des substances polaires </w:t>
            </w:r>
          </w:p>
          <w:p w14:paraId="41ACC2CE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*↑par 6 aux mains et par 2 au niveau des pieds </w:t>
            </w:r>
          </w:p>
          <w:p w14:paraId="1BBA27BD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   * Pas de modification au bras et aux jambes </w:t>
            </w:r>
          </w:p>
          <w:p w14:paraId="4F933B67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*Stockage avec relargage ultérieur</w:t>
            </w:r>
          </w:p>
          <w:p w14:paraId="5E5AABAB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</w:p>
          <w:p w14:paraId="5778A360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</w:p>
        </w:tc>
      </w:tr>
      <w:tr w:rsidR="008131B0" w14:paraId="06F42DBE" w14:textId="77777777">
        <w:tc>
          <w:tcPr>
            <w:tcW w:w="1418" w:type="dxa"/>
          </w:tcPr>
          <w:p w14:paraId="5A37C2D3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Muscles</w:t>
            </w:r>
          </w:p>
          <w:p w14:paraId="2839F497" w14:textId="77777777" w:rsidR="008131B0" w:rsidRDefault="008131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26919D3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Résorption intramusculaire</w:t>
            </w:r>
          </w:p>
        </w:tc>
        <w:tc>
          <w:tcPr>
            <w:tcW w:w="4247" w:type="dxa"/>
          </w:tcPr>
          <w:p w14:paraId="25108CBE" w14:textId="77777777" w:rsidR="008131B0" w:rsidRDefault="005A44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Variation selon le territoire et la posture </w:t>
            </w:r>
          </w:p>
        </w:tc>
      </w:tr>
    </w:tbl>
    <w:p w14:paraId="608B87E5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</w:p>
    <w:p w14:paraId="63E94D08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  <w:sz w:val="32"/>
          <w:szCs w:val="32"/>
        </w:rPr>
      </w:pPr>
    </w:p>
    <w:p w14:paraId="083D1AE1" w14:textId="77777777" w:rsidR="008131B0" w:rsidRDefault="005A44BD" w:rsidP="005A44BD">
      <w:pPr>
        <w:pStyle w:val="Titre2"/>
      </w:pPr>
      <w:r>
        <w:t>DISTRIBUTION</w:t>
      </w:r>
    </w:p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3118"/>
        <w:gridCol w:w="2693"/>
      </w:tblGrid>
      <w:tr w:rsidR="008131B0" w14:paraId="340316B0" w14:textId="77777777">
        <w:tc>
          <w:tcPr>
            <w:tcW w:w="2689" w:type="dxa"/>
          </w:tcPr>
          <w:p w14:paraId="2B3CDD97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Paramètres </w:t>
            </w:r>
          </w:p>
        </w:tc>
        <w:tc>
          <w:tcPr>
            <w:tcW w:w="3118" w:type="dxa"/>
          </w:tcPr>
          <w:p w14:paraId="590DB801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Femme non enceinte</w:t>
            </w:r>
          </w:p>
        </w:tc>
        <w:tc>
          <w:tcPr>
            <w:tcW w:w="2693" w:type="dxa"/>
          </w:tcPr>
          <w:p w14:paraId="7E58E982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Femme enceinte</w:t>
            </w:r>
          </w:p>
        </w:tc>
      </w:tr>
      <w:tr w:rsidR="008131B0" w14:paraId="134CFCBD" w14:textId="77777777">
        <w:tc>
          <w:tcPr>
            <w:tcW w:w="2689" w:type="dxa"/>
          </w:tcPr>
          <w:p w14:paraId="758A3E84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Eau plasmatique </w:t>
            </w:r>
          </w:p>
        </w:tc>
        <w:tc>
          <w:tcPr>
            <w:tcW w:w="3118" w:type="dxa"/>
          </w:tcPr>
          <w:p w14:paraId="538D5353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3L</w:t>
            </w:r>
          </w:p>
        </w:tc>
        <w:tc>
          <w:tcPr>
            <w:tcW w:w="2693" w:type="dxa"/>
          </w:tcPr>
          <w:p w14:paraId="6FC27D47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4L</w:t>
            </w:r>
          </w:p>
        </w:tc>
      </w:tr>
      <w:tr w:rsidR="008131B0" w14:paraId="52189537" w14:textId="77777777">
        <w:tc>
          <w:tcPr>
            <w:tcW w:w="2689" w:type="dxa"/>
          </w:tcPr>
          <w:p w14:paraId="0B88A087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Eau interstitielle</w:t>
            </w:r>
          </w:p>
        </w:tc>
        <w:tc>
          <w:tcPr>
            <w:tcW w:w="3118" w:type="dxa"/>
          </w:tcPr>
          <w:p w14:paraId="1383018F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11L</w:t>
            </w:r>
          </w:p>
        </w:tc>
        <w:tc>
          <w:tcPr>
            <w:tcW w:w="2693" w:type="dxa"/>
          </w:tcPr>
          <w:p w14:paraId="23DF8C5D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16L</w:t>
            </w:r>
          </w:p>
        </w:tc>
      </w:tr>
      <w:tr w:rsidR="008131B0" w14:paraId="697EA883" w14:textId="77777777">
        <w:tc>
          <w:tcPr>
            <w:tcW w:w="2689" w:type="dxa"/>
          </w:tcPr>
          <w:p w14:paraId="1421391F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Eau intracellulaire</w:t>
            </w:r>
          </w:p>
        </w:tc>
        <w:tc>
          <w:tcPr>
            <w:tcW w:w="3118" w:type="dxa"/>
          </w:tcPr>
          <w:p w14:paraId="59992171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28L</w:t>
            </w:r>
          </w:p>
        </w:tc>
        <w:tc>
          <w:tcPr>
            <w:tcW w:w="2693" w:type="dxa"/>
          </w:tcPr>
          <w:p w14:paraId="62A4DB51" w14:textId="77777777" w:rsidR="008131B0" w:rsidRDefault="005A44B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30L</w:t>
            </w:r>
          </w:p>
        </w:tc>
      </w:tr>
    </w:tbl>
    <w:p w14:paraId="3B138D9F" w14:textId="77777777" w:rsidR="008131B0" w:rsidRDefault="008131B0">
      <w:pPr>
        <w:rPr>
          <w:sz w:val="32"/>
          <w:szCs w:val="32"/>
        </w:rPr>
      </w:pPr>
    </w:p>
    <w:p w14:paraId="782CD30B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>Fœtus + annexes 5</w:t>
      </w:r>
      <w:proofErr w:type="gramStart"/>
      <w:r>
        <w:rPr>
          <w:sz w:val="32"/>
          <w:szCs w:val="32"/>
        </w:rPr>
        <w:t>L  pour</w:t>
      </w:r>
      <w:proofErr w:type="gramEnd"/>
      <w:r>
        <w:rPr>
          <w:sz w:val="32"/>
          <w:szCs w:val="32"/>
        </w:rPr>
        <w:t xml:space="preserve"> 4L + 16L</w:t>
      </w:r>
    </w:p>
    <w:p w14:paraId="6AA9355E" w14:textId="77777777" w:rsidR="008131B0" w:rsidRDefault="005A44BD" w:rsidP="005A44BD">
      <w:pPr>
        <w:pStyle w:val="Titre3"/>
      </w:pPr>
      <w:r>
        <w:t>Compartiment liquidien</w:t>
      </w:r>
    </w:p>
    <w:p w14:paraId="78715866" w14:textId="77777777" w:rsidR="008131B0" w:rsidRDefault="005A44BD" w:rsidP="005A44BD">
      <w:pPr>
        <w:pStyle w:val="Titre4"/>
      </w:pPr>
      <w:r>
        <w:t>Modification</w:t>
      </w:r>
    </w:p>
    <w:p w14:paraId="2F59278F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Eau corporelle → ↑ de + de 8 L </w:t>
      </w:r>
    </w:p>
    <w:p w14:paraId="0A4F5F03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Compartiment intra et extra cellulaire </w:t>
      </w:r>
    </w:p>
    <w:p w14:paraId="21FCA333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Produits de la conception : Fœtus, placenta, utérus, LA</w:t>
      </w:r>
    </w:p>
    <w:p w14:paraId="740D9C56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 volume circulant dès la 6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à 8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semaine jusqu’à 40 à 50% (Max 30L à 34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SA)</w:t>
      </w:r>
    </w:p>
    <w:p w14:paraId="49339404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Qc : ↑ progre</w:t>
      </w:r>
      <w:r>
        <w:rPr>
          <w:sz w:val="32"/>
          <w:szCs w:val="32"/>
        </w:rPr>
        <w:t>ssive</w:t>
      </w:r>
      <w:r>
        <w:rPr>
          <w:color w:val="000000"/>
          <w:sz w:val="32"/>
          <w:szCs w:val="32"/>
        </w:rPr>
        <w:t xml:space="preserve"> de près de 30 à 50% dès la fin du 1</w:t>
      </w:r>
      <w:r>
        <w:rPr>
          <w:color w:val="000000"/>
          <w:sz w:val="32"/>
          <w:szCs w:val="32"/>
          <w:vertAlign w:val="superscript"/>
        </w:rPr>
        <w:t>er</w:t>
      </w:r>
      <w:r>
        <w:rPr>
          <w:color w:val="000000"/>
          <w:sz w:val="32"/>
          <w:szCs w:val="32"/>
        </w:rPr>
        <w:t xml:space="preserve"> trimestre </w:t>
      </w:r>
    </w:p>
    <w:p w14:paraId="5AC23232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Q régionaux ↑ : Peau, reins, poumons, utérus</w:t>
      </w:r>
    </w:p>
    <w:p w14:paraId="670C92B6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↓progressive des concentrations d’albumine plasmatique (Hypoalbuminémie de dilution) (-5 à 10g/L) (70 à 80 % valeurs normales)</w:t>
      </w:r>
    </w:p>
    <w:p w14:paraId="68653531" w14:textId="77777777" w:rsidR="008131B0" w:rsidRDefault="005A44BD" w:rsidP="005A44BD">
      <w:pPr>
        <w:pStyle w:val="Titre4"/>
      </w:pPr>
      <w:r>
        <w:t xml:space="preserve">Conséquences </w:t>
      </w:r>
    </w:p>
    <w:p w14:paraId="0DB69A48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↓Concentration sériq</w:t>
      </w:r>
      <w:r>
        <w:rPr>
          <w:color w:val="000000"/>
          <w:sz w:val="32"/>
          <w:szCs w:val="32"/>
        </w:rPr>
        <w:t xml:space="preserve">ue des médicaments </w:t>
      </w:r>
    </w:p>
    <w:p w14:paraId="31496AD6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↓ liaisons des médicaments aux protéines plasmatiques (Fraction liée) : nette dès la 15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semaine de gestation → quelques jours après le post partum</w:t>
      </w:r>
    </w:p>
    <w:p w14:paraId="689473CC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↑Fraction libre</w:t>
      </w:r>
    </w:p>
    <w:p w14:paraId="222B5412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Circulant dans les divers compartiments maternels</w:t>
      </w:r>
    </w:p>
    <w:p w14:paraId="7344ECC9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↑ volume de distribution, donc de la ½ vie d’élimination (Ex : Aminoside, vancomycine, C3G, …)</w:t>
      </w:r>
    </w:p>
    <w:p w14:paraId="363CC857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Risque apparition de signes de surdosage avec des concentrations totales de médicaments restant dans la fourche</w:t>
      </w:r>
      <w:r>
        <w:rPr>
          <w:color w:val="000000"/>
          <w:sz w:val="32"/>
          <w:szCs w:val="32"/>
        </w:rPr>
        <w:t>tte thérapeutique</w:t>
      </w:r>
    </w:p>
    <w:p w14:paraId="54DE8C0B" w14:textId="67505129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  <w:r>
        <w:rPr>
          <w:sz w:val="32"/>
          <w:szCs w:val="32"/>
        </w:rPr>
        <w:t>Risque de passage du PA au niveau du placenta et fœtus</w:t>
      </w:r>
      <w:r>
        <w:rPr>
          <w:sz w:val="32"/>
          <w:szCs w:val="32"/>
        </w:rPr>
        <w:t xml:space="preserve"> </w:t>
      </w:r>
    </w:p>
    <w:p w14:paraId="78AF650C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32"/>
          <w:szCs w:val="32"/>
        </w:rPr>
      </w:pPr>
    </w:p>
    <w:p w14:paraId="7BC48281" w14:textId="77777777" w:rsidR="008131B0" w:rsidRDefault="005A44BD" w:rsidP="005A44BD">
      <w:pPr>
        <w:pStyle w:val="Titre3"/>
      </w:pPr>
      <w:r>
        <w:t>Tissus graisseux</w:t>
      </w:r>
    </w:p>
    <w:p w14:paraId="3CCF8686" w14:textId="77777777" w:rsidR="008131B0" w:rsidRDefault="005A44BD" w:rsidP="005A44BD">
      <w:pPr>
        <w:pStyle w:val="Titre4"/>
      </w:pPr>
      <w:r>
        <w:t xml:space="preserve">Modifications </w:t>
      </w:r>
    </w:p>
    <w:p w14:paraId="00689FAB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Présence de surcharge lipidique </w:t>
      </w:r>
    </w:p>
    <w:p w14:paraId="48C2268E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Graisse ↑ de 3 à 4 kg à la fin du 2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trimestre</w:t>
      </w:r>
    </w:p>
    <w:p w14:paraId="5B4E01B5" w14:textId="77777777" w:rsidR="008131B0" w:rsidRDefault="005A44BD" w:rsidP="005A44BD">
      <w:pPr>
        <w:pStyle w:val="Titre4"/>
      </w:pPr>
      <w:r>
        <w:t>Conséquences</w:t>
      </w:r>
    </w:p>
    <w:p w14:paraId="5AA46919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↑volume de distribution des substances liposolubles </w:t>
      </w:r>
    </w:p>
    <w:p w14:paraId="7060D6F2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Accumulation de ces PA dans les tissus graisseux</w:t>
      </w:r>
    </w:p>
    <w:p w14:paraId="4E22ED36" w14:textId="77777777" w:rsidR="008131B0" w:rsidRDefault="008131B0">
      <w:pPr>
        <w:rPr>
          <w:sz w:val="32"/>
          <w:szCs w:val="32"/>
        </w:rPr>
      </w:pPr>
    </w:p>
    <w:p w14:paraId="2CF30EA7" w14:textId="77777777" w:rsidR="008131B0" w:rsidRDefault="005A44BD" w:rsidP="005A44BD">
      <w:pPr>
        <w:pStyle w:val="Titre2"/>
      </w:pPr>
      <w:r>
        <w:t xml:space="preserve">METABOLISME </w:t>
      </w:r>
    </w:p>
    <w:p w14:paraId="0385F4F0" w14:textId="77777777" w:rsidR="008131B0" w:rsidRDefault="005A44BD" w:rsidP="005A44BD">
      <w:pPr>
        <w:pStyle w:val="Titre3"/>
        <w:rPr>
          <w:color w:val="000000"/>
        </w:rPr>
      </w:pPr>
      <w:r>
        <w:t xml:space="preserve">Modifications : </w:t>
      </w:r>
    </w:p>
    <w:p w14:paraId="45124D9D" w14:textId="613BF3DC" w:rsidR="008131B0" w:rsidRDefault="005A44BD" w:rsidP="005A44BD">
      <w:pPr>
        <w:pStyle w:val="Titre3"/>
      </w:pPr>
      <w:r>
        <w:t>Augmentation de la production des différentes hormones</w:t>
      </w:r>
      <w:r>
        <w:t xml:space="preserve"> :</w:t>
      </w:r>
    </w:p>
    <w:p w14:paraId="6A38633D" w14:textId="7BF0273E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Hormones sexuelles œstrogènes</w:t>
      </w:r>
      <w:r>
        <w:rPr>
          <w:b/>
          <w:sz w:val="24"/>
          <w:szCs w:val="24"/>
        </w:rPr>
        <w:t>, progestérones</w:t>
      </w:r>
      <w:r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>...</w:t>
      </w:r>
    </w:p>
    <w:p w14:paraId="104407E2" w14:textId="554CBCB4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HCS, HCG, hormones corticosurrénaliennes</w:t>
      </w:r>
    </w:p>
    <w:p w14:paraId="1CEF3216" w14:textId="4BF2437F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Hormones lactogène</w:t>
      </w:r>
      <w:r>
        <w:rPr>
          <w:b/>
          <w:sz w:val="24"/>
          <w:szCs w:val="24"/>
        </w:rPr>
        <w:t xml:space="preserve"> placentaire (HLP) et hormones chorionique somatatotrophiques (HCS), de structure proche de celle de GH</w:t>
      </w:r>
    </w:p>
    <w:p w14:paraId="1F612653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Leptine</w:t>
      </w:r>
    </w:p>
    <w:p w14:paraId="6D07F7B2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Insulines : </w:t>
      </w:r>
    </w:p>
    <w:p w14:paraId="65B654AF" w14:textId="63DB5750" w:rsidR="008131B0" w:rsidRDefault="005A44BD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Augmentation d</w:t>
      </w:r>
      <w:r>
        <w:rPr>
          <w:b/>
          <w:sz w:val="24"/>
          <w:szCs w:val="24"/>
        </w:rPr>
        <w:t xml:space="preserve">e </w:t>
      </w:r>
      <w:r>
        <w:rPr>
          <w:b/>
          <w:sz w:val="24"/>
          <w:szCs w:val="24"/>
        </w:rPr>
        <w:t>la production des d’insuline</w:t>
      </w:r>
      <w:r>
        <w:rPr>
          <w:b/>
          <w:sz w:val="24"/>
          <w:szCs w:val="24"/>
        </w:rPr>
        <w:t xml:space="preserve"> (dès</w:t>
      </w:r>
      <w:r>
        <w:rPr>
          <w:b/>
          <w:sz w:val="24"/>
          <w:szCs w:val="24"/>
        </w:rPr>
        <w:t xml:space="preserve"> les premières semaines</w:t>
      </w:r>
      <w:r>
        <w:rPr>
          <w:b/>
          <w:sz w:val="24"/>
          <w:szCs w:val="24"/>
        </w:rPr>
        <w:t xml:space="preserve"> de grossesse)</w:t>
      </w:r>
    </w:p>
    <w:p w14:paraId="1EDBA281" w14:textId="61E62A2A" w:rsidR="008131B0" w:rsidRDefault="005A44BD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Augmentation de l’insulinorésistance</w:t>
      </w:r>
      <w:r>
        <w:rPr>
          <w:b/>
          <w:sz w:val="24"/>
          <w:szCs w:val="24"/>
        </w:rPr>
        <w:t xml:space="preserve"> (</w:t>
      </w:r>
      <w:proofErr w:type="gramStart"/>
      <w:r>
        <w:rPr>
          <w:b/>
          <w:sz w:val="24"/>
          <w:szCs w:val="24"/>
        </w:rPr>
        <w:t>a</w:t>
      </w:r>
      <w:proofErr w:type="gramEnd"/>
      <w:r>
        <w:rPr>
          <w:b/>
          <w:sz w:val="24"/>
          <w:szCs w:val="24"/>
        </w:rPr>
        <w:t xml:space="preserve"> partir du second trimestre)</w:t>
      </w:r>
    </w:p>
    <w:p w14:paraId="6AF5FC0A" w14:textId="77777777" w:rsidR="008131B0" w:rsidRDefault="005A44BD" w:rsidP="005A44BD">
      <w:pPr>
        <w:pStyle w:val="Titre3"/>
      </w:pPr>
      <w:r>
        <w:lastRenderedPageBreak/>
        <w:t xml:space="preserve">Activités des hormones sexuelles régulés par : </w:t>
      </w:r>
    </w:p>
    <w:p w14:paraId="79D2E8EA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Récepteurs prégnante x (PXR)</w:t>
      </w:r>
    </w:p>
    <w:p w14:paraId="2B3E5EC2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Récepteurs androsterone co</w:t>
      </w:r>
      <w:r>
        <w:rPr>
          <w:b/>
          <w:sz w:val="24"/>
          <w:szCs w:val="24"/>
        </w:rPr>
        <w:t>nstitutif (CAR)</w:t>
      </w:r>
    </w:p>
    <w:p w14:paraId="12C5F4CC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Récepteurs nucléaire hépatique </w:t>
      </w:r>
    </w:p>
    <w:p w14:paraId="4F4CF20D" w14:textId="77777777" w:rsidR="008131B0" w:rsidRDefault="005A44B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Récepteurs hydrocarbone aromatiques (AhR)</w:t>
      </w:r>
    </w:p>
    <w:p w14:paraId="55EEC28D" w14:textId="77777777" w:rsidR="008131B0" w:rsidRDefault="005A44BD" w:rsidP="005A44BD">
      <w:pPr>
        <w:pStyle w:val="Titre2"/>
      </w:pPr>
      <w:r>
        <w:t xml:space="preserve">Conséquences : </w:t>
      </w:r>
    </w:p>
    <w:p w14:paraId="43AA6F4B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Fixation des hormones sur leurs récepteurs correspondant </w:t>
      </w:r>
    </w:p>
    <w:p w14:paraId="7C7C6270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Mise en routes des voies métaboliques intracellulaires </w:t>
      </w:r>
    </w:p>
    <w:p w14:paraId="4AD96CDB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Modifications du métabolisme de la femme enceinte </w:t>
      </w:r>
    </w:p>
    <w:p w14:paraId="1231E54E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Réaction de la phase une : fonctionnalisation </w:t>
      </w:r>
    </w:p>
    <w:p w14:paraId="1F36895A" w14:textId="77777777" w:rsidR="008131B0" w:rsidRDefault="005A44BD" w:rsidP="005A44BD">
      <w:pPr>
        <w:pStyle w:val="Titre2"/>
      </w:pPr>
      <w:r>
        <w:t>Réactions de la phase I et II :</w:t>
      </w:r>
    </w:p>
    <w:p w14:paraId="0A3FF506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Réaction de la phase I (fonctionnalisation) et réaction de la phase II (conjugaison)</w:t>
      </w:r>
    </w:p>
    <w:p w14:paraId="52A7AAEA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Réactions intervenant dans le métabolisme des molécules propres à l’organisme </w:t>
      </w:r>
    </w:p>
    <w:p w14:paraId="0554B4A5" w14:textId="77777777" w:rsidR="008131B0" w:rsidRDefault="005A44B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Existences d'effets inducteurs ou inhibiteurs entre ces différentes molécules, mais aussi av</w:t>
      </w:r>
      <w:r>
        <w:rPr>
          <w:b/>
          <w:sz w:val="24"/>
          <w:szCs w:val="24"/>
        </w:rPr>
        <w:t xml:space="preserve">ec certains médicaments administrés pendant la grossesse </w:t>
      </w:r>
    </w:p>
    <w:p w14:paraId="1DA2C50E" w14:textId="77777777" w:rsidR="008131B0" w:rsidRDefault="005A44BD" w:rsidP="005A44BD">
      <w:pPr>
        <w:pStyle w:val="Titre3"/>
      </w:pPr>
      <w:r>
        <w:t>Influences hormonales</w:t>
      </w:r>
    </w:p>
    <w:tbl>
      <w:tblPr>
        <w:tblStyle w:val="a1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3"/>
      </w:tblGrid>
      <w:tr w:rsidR="008131B0" w14:paraId="1CF8393C" w14:textId="77777777">
        <w:tc>
          <w:tcPr>
            <w:tcW w:w="2689" w:type="dxa"/>
          </w:tcPr>
          <w:p w14:paraId="086E7CE3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Modification </w:t>
            </w:r>
          </w:p>
        </w:tc>
        <w:tc>
          <w:tcPr>
            <w:tcW w:w="6373" w:type="dxa"/>
          </w:tcPr>
          <w:p w14:paraId="11B9B8EE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Conséquences</w:t>
            </w:r>
          </w:p>
        </w:tc>
      </w:tr>
      <w:tr w:rsidR="008131B0" w14:paraId="6FBC0DF7" w14:textId="77777777">
        <w:tc>
          <w:tcPr>
            <w:tcW w:w="2689" w:type="dxa"/>
          </w:tcPr>
          <w:p w14:paraId="79B8842A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Œstrogènes </w:t>
            </w:r>
          </w:p>
        </w:tc>
        <w:tc>
          <w:tcPr>
            <w:tcW w:w="6373" w:type="dxa"/>
          </w:tcPr>
          <w:p w14:paraId="36B34980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-Rétention biliaire favorisée</w:t>
            </w:r>
          </w:p>
          <w:p w14:paraId="1717924A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-Inhibition CYP1A2, CYP2C19→ augmentation de la ½ vie d’élimination de certains médicaments </w:t>
            </w:r>
          </w:p>
          <w:p w14:paraId="7E53CBBD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-Stimulation de UGT 1A4, UGT 2B9</w:t>
            </w:r>
          </w:p>
        </w:tc>
      </w:tr>
      <w:tr w:rsidR="008131B0" w14:paraId="7F15CA07" w14:textId="77777777">
        <w:tc>
          <w:tcPr>
            <w:tcW w:w="2689" w:type="dxa"/>
          </w:tcPr>
          <w:p w14:paraId="1C70A3C2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Progestérones</w:t>
            </w:r>
          </w:p>
        </w:tc>
        <w:tc>
          <w:tcPr>
            <w:tcW w:w="6373" w:type="dxa"/>
          </w:tcPr>
          <w:p w14:paraId="28471A07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-Stimulation de l’activité des microsomes hépatiques (Ex : Induction de certain enzyme d’hydroxylation, CYP 3A4, CY</w:t>
            </w:r>
            <w:r>
              <w:rPr>
                <w:sz w:val="32"/>
                <w:szCs w:val="32"/>
              </w:rPr>
              <w:t>P 2C9, CYP 2A6, CYP 2D6) surtout au 3</w:t>
            </w:r>
            <w:r>
              <w:rPr>
                <w:sz w:val="32"/>
                <w:szCs w:val="32"/>
                <w:vertAlign w:val="superscript"/>
              </w:rPr>
              <w:t>ème</w:t>
            </w:r>
            <w:r>
              <w:rPr>
                <w:sz w:val="32"/>
                <w:szCs w:val="32"/>
              </w:rPr>
              <w:t xml:space="preserve"> trimestre </w:t>
            </w:r>
          </w:p>
          <w:p w14:paraId="4ABE3C22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Modification de l’activité de certains enzyme N-démethylation et de N-acteyl transférase</w:t>
            </w:r>
          </w:p>
        </w:tc>
      </w:tr>
      <w:tr w:rsidR="008131B0" w14:paraId="65ACBA98" w14:textId="77777777">
        <w:tc>
          <w:tcPr>
            <w:tcW w:w="2689" w:type="dxa"/>
          </w:tcPr>
          <w:p w14:paraId="01F45B0B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Stéroïdes sexuels </w:t>
            </w:r>
          </w:p>
        </w:tc>
        <w:tc>
          <w:tcPr>
            <w:tcW w:w="6373" w:type="dxa"/>
          </w:tcPr>
          <w:p w14:paraId="16556913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-Inhibition de l’oxydation de certains substances (Ex : Héxobarbital, éthylmorphine, …)</w:t>
            </w:r>
          </w:p>
        </w:tc>
      </w:tr>
    </w:tbl>
    <w:p w14:paraId="2E7F4F02" w14:textId="77777777" w:rsidR="008131B0" w:rsidRDefault="008131B0">
      <w:pPr>
        <w:rPr>
          <w:sz w:val="32"/>
          <w:szCs w:val="32"/>
        </w:rPr>
      </w:pPr>
    </w:p>
    <w:p w14:paraId="6506C7E1" w14:textId="77777777" w:rsidR="008131B0" w:rsidRDefault="005A44BD" w:rsidP="005A44BD">
      <w:pPr>
        <w:pStyle w:val="Titre3"/>
      </w:pPr>
      <w:r>
        <w:t>Influ</w:t>
      </w:r>
      <w:r>
        <w:t xml:space="preserve">ences sur la réaction de phase 1 et 2 au niveau du foie </w:t>
      </w:r>
    </w:p>
    <w:p w14:paraId="502EFFDE" w14:textId="77777777" w:rsidR="008131B0" w:rsidRDefault="005A44BD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696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Modification </w:t>
      </w:r>
    </w:p>
    <w:p w14:paraId="361ACE87" w14:textId="77777777" w:rsidR="008131B0" w:rsidRDefault="005A44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Modification d’activité N-diméthylation et N-acétyltransférase </w:t>
      </w:r>
    </w:p>
    <w:p w14:paraId="3D71D394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52CEB9FE" w14:textId="77777777" w:rsidR="008131B0" w:rsidRDefault="005A44BD" w:rsidP="005A44BD">
      <w:pPr>
        <w:pStyle w:val="Titre3"/>
      </w:pPr>
      <w:r>
        <w:t xml:space="preserve">Conséquences des inducteurs et inhibiteurs enzymatiques </w:t>
      </w:r>
    </w:p>
    <w:p w14:paraId="5FC22E52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Adaptation des doses </w:t>
      </w:r>
      <w:proofErr w:type="gramStart"/>
      <w:r>
        <w:rPr>
          <w:color w:val="000000"/>
          <w:sz w:val="32"/>
          <w:szCs w:val="32"/>
        </w:rPr>
        <w:t>des  médicaments</w:t>
      </w:r>
      <w:proofErr w:type="gramEnd"/>
      <w:r>
        <w:rPr>
          <w:color w:val="000000"/>
          <w:sz w:val="32"/>
          <w:szCs w:val="32"/>
        </w:rPr>
        <w:t xml:space="preserve"> à index thérapeutique étroit </w:t>
      </w:r>
    </w:p>
    <w:p w14:paraId="3777F2F4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Influence des inducteurs/ inhibiteurs enzymatiques </w:t>
      </w:r>
    </w:p>
    <w:p w14:paraId="0FB05B74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7BB11853" w14:textId="77777777" w:rsidR="008131B0" w:rsidRDefault="005A44BD" w:rsidP="005A44BD">
      <w:pPr>
        <w:pStyle w:val="Titre3"/>
      </w:pPr>
      <w:r>
        <w:t>Vidange vésiculaire</w:t>
      </w:r>
    </w:p>
    <w:tbl>
      <w:tblPr>
        <w:tblStyle w:val="a2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232"/>
      </w:tblGrid>
      <w:tr w:rsidR="008131B0" w14:paraId="1E9AC12D" w14:textId="77777777">
        <w:tc>
          <w:tcPr>
            <w:tcW w:w="2830" w:type="dxa"/>
          </w:tcPr>
          <w:p w14:paraId="53FF2847" w14:textId="77777777" w:rsidR="008131B0" w:rsidRDefault="005A44B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Modification</w:t>
            </w:r>
          </w:p>
        </w:tc>
        <w:tc>
          <w:tcPr>
            <w:tcW w:w="6232" w:type="dxa"/>
          </w:tcPr>
          <w:p w14:paraId="7EB91D02" w14:textId="77777777" w:rsidR="008131B0" w:rsidRDefault="005A44B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Conséquences</w:t>
            </w:r>
          </w:p>
        </w:tc>
      </w:tr>
      <w:tr w:rsidR="008131B0" w14:paraId="481F4F32" w14:textId="77777777">
        <w:tc>
          <w:tcPr>
            <w:tcW w:w="2830" w:type="dxa"/>
          </w:tcPr>
          <w:p w14:paraId="31F1A11B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Diminution</w:t>
            </w:r>
          </w:p>
        </w:tc>
        <w:tc>
          <w:tcPr>
            <w:tcW w:w="6232" w:type="dxa"/>
          </w:tcPr>
          <w:p w14:paraId="1DBE66C5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-Persistance du résidu vésiculaire après le repas et tout au long de la journée </w:t>
            </w:r>
          </w:p>
          <w:p w14:paraId="2C7964DD" w14:textId="77777777" w:rsidR="008131B0" w:rsidRDefault="005A4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-↑volume vésiculaire dès le premier trimestre </w:t>
            </w:r>
          </w:p>
        </w:tc>
      </w:tr>
    </w:tbl>
    <w:p w14:paraId="742E13FE" w14:textId="77777777" w:rsidR="008131B0" w:rsidRDefault="008131B0">
      <w:pPr>
        <w:rPr>
          <w:sz w:val="32"/>
          <w:szCs w:val="32"/>
        </w:rPr>
      </w:pPr>
    </w:p>
    <w:p w14:paraId="26C1E785" w14:textId="77777777" w:rsidR="008131B0" w:rsidRDefault="005A44BD">
      <w:pPr>
        <w:rPr>
          <w:sz w:val="32"/>
          <w:szCs w:val="32"/>
        </w:rPr>
      </w:pPr>
      <w:r>
        <w:rPr>
          <w:b/>
          <w:sz w:val="32"/>
          <w:szCs w:val="32"/>
          <w:u w:val="single"/>
        </w:rPr>
        <w:t>NB</w:t>
      </w:r>
      <w:r>
        <w:rPr>
          <w:sz w:val="32"/>
          <w:szCs w:val="32"/>
        </w:rPr>
        <w:t xml:space="preserve"> : </w:t>
      </w:r>
    </w:p>
    <w:p w14:paraId="77DB90AF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Observation d’un sludage vésiculaire chez environ 30% de femme enceinte </w:t>
      </w:r>
    </w:p>
    <w:p w14:paraId="3D4A92B2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Disparition le plus souvent dans l’année qui su</w:t>
      </w:r>
      <w:r>
        <w:rPr>
          <w:color w:val="000000"/>
          <w:sz w:val="32"/>
          <w:szCs w:val="32"/>
        </w:rPr>
        <w:t xml:space="preserve">it l’accouchement </w:t>
      </w:r>
    </w:p>
    <w:p w14:paraId="70EA79B9" w14:textId="77777777" w:rsidR="008131B0" w:rsidRDefault="008131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2"/>
          <w:szCs w:val="32"/>
        </w:rPr>
      </w:pPr>
    </w:p>
    <w:p w14:paraId="6E4C9DD9" w14:textId="77777777" w:rsidR="008131B0" w:rsidRDefault="005A44BD" w:rsidP="005A44BD">
      <w:pPr>
        <w:pStyle w:val="Titre2"/>
      </w:pPr>
      <w:r>
        <w:t xml:space="preserve">ELIMINATION </w:t>
      </w:r>
    </w:p>
    <w:p w14:paraId="0C50808D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>Excrétion rénale sous la dépendance du :</w:t>
      </w:r>
    </w:p>
    <w:p w14:paraId="0760584C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DFG </w:t>
      </w:r>
    </w:p>
    <w:p w14:paraId="1628227F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Sécrétion tubulaire active (Au niveau du TCP)</w:t>
      </w:r>
    </w:p>
    <w:p w14:paraId="1CC00F2C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Réabsorption tubulaire (Au niveau du TCD et TC)</w:t>
      </w:r>
    </w:p>
    <w:p w14:paraId="0F12C4D5" w14:textId="77777777" w:rsidR="008131B0" w:rsidRDefault="005A44BD" w:rsidP="005A44BD">
      <w:pPr>
        <w:pStyle w:val="Titre3"/>
      </w:pPr>
      <w:r>
        <w:t>Fonction rénale</w:t>
      </w:r>
    </w:p>
    <w:p w14:paraId="5E15DB8B" w14:textId="77777777" w:rsidR="008131B0" w:rsidRDefault="005A44BD" w:rsidP="005A44BD">
      <w:pPr>
        <w:pStyle w:val="Titre4"/>
      </w:pPr>
      <w:r>
        <w:t>Modifications</w:t>
      </w:r>
    </w:p>
    <w:p w14:paraId="07945E3B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↑Flux plasmatique dès la 15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semaine→ 5O% en fin de grossesse (Avec augmentation de débit cardiaque)</w:t>
      </w:r>
    </w:p>
    <w:p w14:paraId="61EFC523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↑filtration glomérulaire → 5O% dès 1</w:t>
      </w:r>
      <w:r>
        <w:rPr>
          <w:color w:val="000000"/>
          <w:sz w:val="32"/>
          <w:szCs w:val="32"/>
          <w:vertAlign w:val="superscript"/>
        </w:rPr>
        <w:t>er</w:t>
      </w:r>
      <w:r>
        <w:rPr>
          <w:color w:val="000000"/>
          <w:sz w:val="32"/>
          <w:szCs w:val="32"/>
        </w:rPr>
        <w:t xml:space="preserve"> trimestre, puis ↓ dans les 3 dernières semaines, atteinte de valeur post partum le dernier trimestre </w:t>
      </w:r>
    </w:p>
    <w:p w14:paraId="466AC966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↑de réabsorp</w:t>
      </w:r>
      <w:r>
        <w:rPr>
          <w:color w:val="000000"/>
          <w:sz w:val="32"/>
          <w:szCs w:val="32"/>
        </w:rPr>
        <w:t>tion de Na avec ↑ importante de valeur hydrique de la femme enceinte (Augmentation aussi de la sécrétion d’Hormone Cortico Surrénalien)</w:t>
      </w:r>
    </w:p>
    <w:p w14:paraId="09BD274C" w14:textId="77777777" w:rsidR="008131B0" w:rsidRDefault="008131B0">
      <w:pPr>
        <w:rPr>
          <w:sz w:val="32"/>
          <w:szCs w:val="32"/>
        </w:rPr>
      </w:pPr>
    </w:p>
    <w:p w14:paraId="38994EE6" w14:textId="77777777" w:rsidR="008131B0" w:rsidRDefault="008131B0">
      <w:pPr>
        <w:rPr>
          <w:sz w:val="32"/>
          <w:szCs w:val="32"/>
        </w:rPr>
      </w:pPr>
    </w:p>
    <w:p w14:paraId="6C74A18C" w14:textId="543A71E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↑Clearance</w:t>
      </w:r>
      <w:r>
        <w:rPr>
          <w:color w:val="000000"/>
          <w:sz w:val="32"/>
          <w:szCs w:val="32"/>
        </w:rPr>
        <w:t xml:space="preserve"> créatinine</w:t>
      </w:r>
      <w:r>
        <w:rPr>
          <w:color w:val="000000"/>
          <w:sz w:val="32"/>
          <w:szCs w:val="32"/>
        </w:rPr>
        <w:t xml:space="preserve"> (150 à 200 ml/mn)</w:t>
      </w:r>
    </w:p>
    <w:p w14:paraId="51666973" w14:textId="2FB6FBAF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 probable de la sécrétion tubulaire active au 2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– 3</w:t>
      </w:r>
      <w:r>
        <w:rPr>
          <w:color w:val="000000"/>
          <w:sz w:val="32"/>
          <w:szCs w:val="32"/>
          <w:vertAlign w:val="superscript"/>
        </w:rPr>
        <w:t>ème</w:t>
      </w:r>
      <w:r>
        <w:rPr>
          <w:color w:val="000000"/>
          <w:sz w:val="32"/>
          <w:szCs w:val="32"/>
        </w:rPr>
        <w:t xml:space="preserve"> trimestre de la grossess</w:t>
      </w:r>
      <w:r>
        <w:rPr>
          <w:color w:val="000000"/>
          <w:sz w:val="32"/>
          <w:szCs w:val="32"/>
        </w:rPr>
        <w:t>e (Transporteur</w:t>
      </w:r>
      <w:r>
        <w:rPr>
          <w:color w:val="000000"/>
          <w:sz w:val="32"/>
          <w:szCs w:val="32"/>
        </w:rPr>
        <w:t xml:space="preserve"> OAT, OCT, P-gp, MDR « Multi Drug</w:t>
      </w:r>
      <w:r>
        <w:rPr>
          <w:color w:val="000000"/>
          <w:sz w:val="32"/>
          <w:szCs w:val="32"/>
        </w:rPr>
        <w:t xml:space="preserve"> resistance</w:t>
      </w:r>
      <w:r>
        <w:rPr>
          <w:color w:val="000000"/>
          <w:sz w:val="32"/>
          <w:szCs w:val="32"/>
        </w:rPr>
        <w:t> »), PEPT «</w:t>
      </w:r>
      <w:r>
        <w:rPr>
          <w:color w:val="000000"/>
          <w:sz w:val="32"/>
          <w:szCs w:val="32"/>
        </w:rPr>
        <w:t> Peptides transporters</w:t>
      </w:r>
      <w:r>
        <w:rPr>
          <w:color w:val="000000"/>
          <w:sz w:val="32"/>
          <w:szCs w:val="32"/>
        </w:rPr>
        <w:t> »</w:t>
      </w:r>
    </w:p>
    <w:p w14:paraId="60E848B4" w14:textId="77777777" w:rsidR="008131B0" w:rsidRDefault="008131B0">
      <w:pPr>
        <w:rPr>
          <w:sz w:val="32"/>
          <w:szCs w:val="32"/>
        </w:rPr>
      </w:pPr>
    </w:p>
    <w:p w14:paraId="4A39F8C2" w14:textId="77777777" w:rsidR="008131B0" w:rsidRDefault="005A44BD" w:rsidP="005A44BD">
      <w:pPr>
        <w:pStyle w:val="Titre4"/>
      </w:pPr>
      <w:r>
        <w:t>Conséquences</w:t>
      </w:r>
    </w:p>
    <w:p w14:paraId="2D08FC60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↓progressive de la créatininémie</w:t>
      </w:r>
    </w:p>
    <w:p w14:paraId="4CC6B6CE" w14:textId="44175EB2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↑ de la clearance</w:t>
      </w:r>
      <w:r>
        <w:rPr>
          <w:color w:val="000000"/>
          <w:sz w:val="32"/>
          <w:szCs w:val="32"/>
        </w:rPr>
        <w:t xml:space="preserve"> des médicaments (à élimination rénale prédominante)</w:t>
      </w:r>
    </w:p>
    <w:p w14:paraId="7E5FE50F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↓ concentration plasmatique des médicaments chez la femme enceinte </w:t>
      </w:r>
    </w:p>
    <w:p w14:paraId="3FE363B0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Adaptation des doses des médicaments à index thérapeutique étroit (surdosage)</w:t>
      </w:r>
    </w:p>
    <w:p w14:paraId="11743EDE" w14:textId="77777777" w:rsidR="008131B0" w:rsidRDefault="005A44BD">
      <w:pPr>
        <w:rPr>
          <w:sz w:val="32"/>
          <w:szCs w:val="32"/>
        </w:rPr>
      </w:pPr>
      <w:r>
        <w:rPr>
          <w:b/>
          <w:sz w:val="32"/>
          <w:szCs w:val="32"/>
          <w:u w:val="single"/>
        </w:rPr>
        <w:t>Remarque</w:t>
      </w:r>
      <w:r>
        <w:rPr>
          <w:sz w:val="32"/>
          <w:szCs w:val="32"/>
        </w:rPr>
        <w:t> : Œstrogènes favorisant une cho</w:t>
      </w:r>
      <w:r>
        <w:rPr>
          <w:sz w:val="32"/>
          <w:szCs w:val="32"/>
        </w:rPr>
        <w:t>lestase, conséquence :  une diminution de clairance des médicaments éliminés par voie biliaire (Ex : Rifampicine)</w:t>
      </w:r>
    </w:p>
    <w:p w14:paraId="339C7BA7" w14:textId="77777777" w:rsidR="008131B0" w:rsidRDefault="005A44BD" w:rsidP="005A44BD">
      <w:pPr>
        <w:pStyle w:val="Titre1"/>
      </w:pPr>
      <w:r>
        <w:lastRenderedPageBreak/>
        <w:t xml:space="preserve">III- PHARMACODYNAMIE </w:t>
      </w:r>
    </w:p>
    <w:p w14:paraId="15408791" w14:textId="06DBDB49" w:rsidR="008131B0" w:rsidRDefault="005A44BD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Action et effets pharmacologique des</w:t>
      </w:r>
      <w:r>
        <w:rPr>
          <w:sz w:val="24"/>
          <w:szCs w:val="24"/>
        </w:rPr>
        <w:t xml:space="preserve"> médicaments sont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peu près les mêmes que ceux de la femme non gravide </w:t>
      </w:r>
    </w:p>
    <w:p w14:paraId="679D8D9B" w14:textId="77777777" w:rsidR="008131B0" w:rsidRDefault="005A44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Changement</w:t>
      </w:r>
      <w:r>
        <w:rPr>
          <w:sz w:val="24"/>
          <w:szCs w:val="24"/>
        </w:rPr>
        <w:t xml:space="preserve"> intéressant surtout les paramètres Pharmacocinétiques </w:t>
      </w:r>
    </w:p>
    <w:p w14:paraId="331A63A6" w14:textId="77777777" w:rsidR="008131B0" w:rsidRDefault="005A44BD" w:rsidP="005A44BD">
      <w:pPr>
        <w:pStyle w:val="Titre2"/>
      </w:pPr>
      <w:r>
        <w:t xml:space="preserve">GROSSESSE ET PATHOLOGIES FREQUENTES </w:t>
      </w:r>
    </w:p>
    <w:p w14:paraId="166D98B8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 xml:space="preserve">Tableau 1 : Grossesse et pathologies fréquentes </w:t>
      </w:r>
    </w:p>
    <w:p w14:paraId="05889447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>(IVRS : Infection des Voies Respiratoires Supérieures)</w:t>
      </w:r>
    </w:p>
    <w:p w14:paraId="63AD1B91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 xml:space="preserve">Tableau 2 : diabète </w:t>
      </w:r>
    </w:p>
    <w:p w14:paraId="0307773A" w14:textId="77777777" w:rsidR="008131B0" w:rsidRDefault="008131B0">
      <w:pPr>
        <w:rPr>
          <w:sz w:val="32"/>
          <w:szCs w:val="32"/>
        </w:rPr>
      </w:pPr>
    </w:p>
    <w:p w14:paraId="50758E9D" w14:textId="77777777" w:rsidR="008131B0" w:rsidRDefault="005A44BD">
      <w:pPr>
        <w:rPr>
          <w:sz w:val="32"/>
          <w:szCs w:val="32"/>
        </w:rPr>
      </w:pPr>
      <w:r>
        <w:rPr>
          <w:sz w:val="32"/>
          <w:szCs w:val="32"/>
        </w:rPr>
        <w:t xml:space="preserve">Tableau </w:t>
      </w:r>
      <w:proofErr w:type="gramStart"/>
      <w:r>
        <w:rPr>
          <w:sz w:val="32"/>
          <w:szCs w:val="32"/>
        </w:rPr>
        <w:t>3:</w:t>
      </w:r>
      <w:proofErr w:type="gramEnd"/>
      <w:r>
        <w:rPr>
          <w:sz w:val="32"/>
          <w:szCs w:val="32"/>
        </w:rPr>
        <w:t xml:space="preserve"> constipation  (a éviter  sehnoside…) site du professeur rakotroka Andry </w:t>
      </w:r>
    </w:p>
    <w:p w14:paraId="48ECECC3" w14:textId="77777777" w:rsidR="008131B0" w:rsidRDefault="008131B0">
      <w:pPr>
        <w:rPr>
          <w:sz w:val="32"/>
          <w:szCs w:val="32"/>
        </w:rPr>
      </w:pPr>
    </w:p>
    <w:p w14:paraId="4443C982" w14:textId="77777777" w:rsidR="008131B0" w:rsidRDefault="008131B0">
      <w:pPr>
        <w:rPr>
          <w:sz w:val="32"/>
          <w:szCs w:val="32"/>
        </w:rPr>
      </w:pPr>
    </w:p>
    <w:p w14:paraId="779663CE" w14:textId="77777777" w:rsidR="008131B0" w:rsidRDefault="008131B0">
      <w:pPr>
        <w:rPr>
          <w:sz w:val="32"/>
          <w:szCs w:val="32"/>
        </w:rPr>
      </w:pPr>
    </w:p>
    <w:p w14:paraId="5F7FBF09" w14:textId="77777777" w:rsidR="008131B0" w:rsidRDefault="008131B0">
      <w:pPr>
        <w:rPr>
          <w:sz w:val="32"/>
          <w:szCs w:val="32"/>
        </w:rPr>
      </w:pPr>
    </w:p>
    <w:p w14:paraId="42D09702" w14:textId="77777777" w:rsidR="008131B0" w:rsidRDefault="008131B0">
      <w:pPr>
        <w:rPr>
          <w:sz w:val="32"/>
          <w:szCs w:val="32"/>
        </w:rPr>
      </w:pPr>
    </w:p>
    <w:p w14:paraId="573E004A" w14:textId="77777777" w:rsidR="008131B0" w:rsidRDefault="008131B0">
      <w:pPr>
        <w:rPr>
          <w:sz w:val="32"/>
          <w:szCs w:val="32"/>
        </w:rPr>
      </w:pPr>
    </w:p>
    <w:p w14:paraId="009E0B8D" w14:textId="77777777" w:rsidR="008131B0" w:rsidRDefault="008131B0">
      <w:pPr>
        <w:rPr>
          <w:sz w:val="32"/>
          <w:szCs w:val="32"/>
        </w:rPr>
      </w:pPr>
    </w:p>
    <w:p w14:paraId="4A2DCC94" w14:textId="77777777" w:rsidR="008131B0" w:rsidRDefault="005A44BD" w:rsidP="005A44BD">
      <w:pPr>
        <w:pStyle w:val="Titre1"/>
      </w:pPr>
      <w:bookmarkStart w:id="0" w:name="_pi57zwwjr40m" w:colFirst="0" w:colLast="0"/>
      <w:bookmarkEnd w:id="0"/>
      <w:r>
        <w:t>CONCLUSION</w:t>
      </w:r>
    </w:p>
    <w:p w14:paraId="5A0E37FC" w14:textId="4F975C46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sz w:val="32"/>
          <w:szCs w:val="32"/>
        </w:rPr>
        <w:t xml:space="preserve">Existence </w:t>
      </w:r>
      <w:r>
        <w:rPr>
          <w:color w:val="000000"/>
          <w:sz w:val="32"/>
          <w:szCs w:val="32"/>
        </w:rPr>
        <w:t>de</w:t>
      </w:r>
      <w:r>
        <w:rPr>
          <w:color w:val="000000"/>
          <w:sz w:val="32"/>
          <w:szCs w:val="32"/>
        </w:rPr>
        <w:t xml:space="preserve"> nombreuses modifications des paramètres pharmacocinétiques, </w:t>
      </w:r>
    </w:p>
    <w:p w14:paraId="6E86AB44" w14:textId="4BAC0F50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Conseils pour les femmes</w:t>
      </w:r>
      <w:r>
        <w:rPr>
          <w:color w:val="000000"/>
          <w:sz w:val="32"/>
          <w:szCs w:val="32"/>
        </w:rPr>
        <w:t xml:space="preserve"> qui doivent prendre des médicaments :</w:t>
      </w:r>
    </w:p>
    <w:p w14:paraId="3F653F0C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Vérifier l’inno</w:t>
      </w:r>
      <w:r>
        <w:rPr>
          <w:color w:val="000000"/>
          <w:sz w:val="32"/>
          <w:szCs w:val="32"/>
        </w:rPr>
        <w:t xml:space="preserve">cuité </w:t>
      </w:r>
    </w:p>
    <w:p w14:paraId="2A308634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Vérifier, consulter ou demander un conseil à son médecin </w:t>
      </w:r>
    </w:p>
    <w:p w14:paraId="22994060" w14:textId="77777777" w:rsidR="008131B0" w:rsidRDefault="005A44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Eviter toute auto médication </w:t>
      </w:r>
    </w:p>
    <w:p w14:paraId="6C47614A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Grossesse : Pas une maladie, mais état physiologique particulier </w:t>
      </w:r>
    </w:p>
    <w:p w14:paraId="096C397D" w14:textId="77777777" w:rsidR="008131B0" w:rsidRDefault="005A44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Médicaments administrés à la femme enceinte durant la grossesse ou au moment de l’accouchement → risque pour le fœtus </w:t>
      </w:r>
    </w:p>
    <w:p w14:paraId="17E62F94" w14:textId="77777777" w:rsidR="008131B0" w:rsidRDefault="008131B0">
      <w:pPr>
        <w:rPr>
          <w:sz w:val="32"/>
          <w:szCs w:val="32"/>
        </w:rPr>
      </w:pPr>
    </w:p>
    <w:p w14:paraId="74BBF8F5" w14:textId="77777777" w:rsidR="008131B0" w:rsidRDefault="008131B0">
      <w:pPr>
        <w:rPr>
          <w:sz w:val="32"/>
          <w:szCs w:val="32"/>
        </w:rPr>
      </w:pPr>
    </w:p>
    <w:sectPr w:rsidR="008131B0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007"/>
    <w:multiLevelType w:val="multilevel"/>
    <w:tmpl w:val="7D4A0F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B6260"/>
    <w:multiLevelType w:val="multilevel"/>
    <w:tmpl w:val="9238D6C6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8B50B4"/>
    <w:multiLevelType w:val="multilevel"/>
    <w:tmpl w:val="A7EC7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325478"/>
    <w:multiLevelType w:val="multilevel"/>
    <w:tmpl w:val="8E0AA268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10D4DF7"/>
    <w:multiLevelType w:val="multilevel"/>
    <w:tmpl w:val="66AA27D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5B42EC"/>
    <w:multiLevelType w:val="multilevel"/>
    <w:tmpl w:val="4F60996C"/>
    <w:lvl w:ilvl="0">
      <w:start w:val="1"/>
      <w:numFmt w:val="upp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487E01"/>
    <w:multiLevelType w:val="multilevel"/>
    <w:tmpl w:val="907C6678"/>
    <w:lvl w:ilvl="0">
      <w:start w:val="1"/>
      <w:numFmt w:val="upp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D3A97"/>
    <w:multiLevelType w:val="multilevel"/>
    <w:tmpl w:val="FA1207BE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7902F49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1B0"/>
    <w:rsid w:val="005A44BD"/>
    <w:rsid w:val="0081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26BD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9"/>
      </w:numPr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9"/>
      </w:numPr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9"/>
      </w:numPr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9"/>
      </w:numPr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9"/>
      </w:numPr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9"/>
      </w:numPr>
      <w:spacing w:before="200" w:after="40"/>
      <w:outlineLvl w:val="5"/>
    </w:pPr>
    <w:rPr>
      <w:b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44B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44B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44B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5A44B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5A44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A44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1470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2026-07-18T09:47:00Z</dcterms:created>
  <dcterms:modified xsi:type="dcterms:W3CDTF">2026-07-18T09:55:00Z</dcterms:modified>
</cp:coreProperties>
</file>