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36256" w:rsidRDefault="00D63168" w:rsidP="003D2F6D">
      <w:pPr>
        <w:pStyle w:val="Titre"/>
      </w:pPr>
      <w:r>
        <w:t>PRINCIPES D’ETUDES ET DEVELOPPEMENT DES NOUVEAUX MEDICAMENTS</w:t>
      </w:r>
    </w:p>
    <w:p w14:paraId="00000002" w14:textId="77777777" w:rsidR="00A36256" w:rsidRDefault="00D63168">
      <w:pPr>
        <w:pBdr>
          <w:bottom w:val="single" w:sz="4" w:space="1" w:color="000000"/>
        </w:pBdr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Pr Andry RASAMINDRAKOTROKA </w:t>
      </w:r>
    </w:p>
    <w:p w14:paraId="00000003" w14:textId="77777777" w:rsidR="00A36256" w:rsidRDefault="00D63168" w:rsidP="003D2F6D">
      <w:pPr>
        <w:pStyle w:val="Titre1"/>
      </w:pPr>
      <w:r>
        <w:t>INTRODUCTION</w:t>
      </w:r>
    </w:p>
    <w:p w14:paraId="00000004" w14:textId="77777777" w:rsidR="00A36256" w:rsidRDefault="00D63168">
      <w:pPr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Existence &gt;&gt; 10.000 spécialités sous différentes formes galéniques sur le marché du médicament dans le monde</w:t>
      </w:r>
    </w:p>
    <w:p w14:paraId="00000005" w14:textId="77777777" w:rsidR="00A36256" w:rsidRDefault="00D63168">
      <w:pPr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Médicaments préparés à partir de près de 5.000 principes actifs différents</w:t>
      </w:r>
    </w:p>
    <w:p w14:paraId="00000006" w14:textId="77777777" w:rsidR="00A36256" w:rsidRDefault="00D63168">
      <w:pPr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Introduction en thérapeutique précédée d’un long processus de développem</w:t>
      </w:r>
      <w:r>
        <w:rPr>
          <w:sz w:val="20"/>
          <w:szCs w:val="20"/>
        </w:rPr>
        <w:t>ent</w:t>
      </w:r>
    </w:p>
    <w:p w14:paraId="00000007" w14:textId="77777777" w:rsidR="00A36256" w:rsidRDefault="00D63168">
      <w:pPr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Processus de développement :</w:t>
      </w:r>
    </w:p>
    <w:p w14:paraId="00000008" w14:textId="77777777" w:rsidR="00A36256" w:rsidRDefault="00D63168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Difficile, devant répondre à différentes contraintes (économique, technologique, commercial, scientifique, réglementaire, ...)</w:t>
      </w:r>
    </w:p>
    <w:p w14:paraId="00000009" w14:textId="77777777" w:rsidR="00A36256" w:rsidRDefault="00D63168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Long (10 à 15 ans)</w:t>
      </w:r>
    </w:p>
    <w:p w14:paraId="0000000A" w14:textId="77777777" w:rsidR="00A36256" w:rsidRDefault="00D63168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Couteux (plus de 800 millions d’euros, ~ 3.600.000.000.000 Ar)</w:t>
      </w:r>
    </w:p>
    <w:p w14:paraId="0000000B" w14:textId="77777777" w:rsidR="00A36256" w:rsidRDefault="00D63168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Aléatoire : no</w:t>
      </w:r>
      <w:r>
        <w:rPr>
          <w:sz w:val="20"/>
          <w:szCs w:val="20"/>
        </w:rPr>
        <w:t xml:space="preserve">mbreux principes actifs n’arrivant jamais au stade de médicaments (risque de ne pas avoir un nouveau médicament au bout) </w:t>
      </w:r>
    </w:p>
    <w:p w14:paraId="0000000C" w14:textId="77777777" w:rsidR="00A36256" w:rsidRDefault="00D63168" w:rsidP="003D2F6D">
      <w:pPr>
        <w:pStyle w:val="Titre2"/>
      </w:pPr>
      <w:r>
        <w:t>Intérêts</w:t>
      </w:r>
      <w:r>
        <w:t xml:space="preserve"> :</w:t>
      </w:r>
    </w:p>
    <w:p w14:paraId="0000000D" w14:textId="77777777" w:rsidR="00A36256" w:rsidRDefault="00D6316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Existence de maladies posant de véritables problèmes de santé publique, mais sans médicaments disponibles</w:t>
      </w:r>
    </w:p>
    <w:p w14:paraId="0000000E" w14:textId="77777777" w:rsidR="00A36256" w:rsidRDefault="00D6316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Maladies avec méd</w:t>
      </w:r>
      <w:r>
        <w:rPr>
          <w:sz w:val="20"/>
          <w:szCs w:val="20"/>
        </w:rPr>
        <w:t>icaments, mais problèmes d’efficacité et/ou d’innocuité</w:t>
      </w:r>
    </w:p>
    <w:p w14:paraId="0000000F" w14:textId="77777777" w:rsidR="00A36256" w:rsidRDefault="00D63168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Mise à disposition de médicaments pour la prise en charge de la santé de la population</w:t>
      </w:r>
    </w:p>
    <w:p w14:paraId="00000010" w14:textId="77777777" w:rsidR="00A36256" w:rsidRDefault="00A36256">
      <w:pPr>
        <w:rPr>
          <w:sz w:val="20"/>
          <w:szCs w:val="20"/>
        </w:rPr>
      </w:pPr>
    </w:p>
    <w:p w14:paraId="00000011" w14:textId="77777777" w:rsidR="00A36256" w:rsidRDefault="00D63168" w:rsidP="003D2F6D">
      <w:pPr>
        <w:pStyle w:val="Titre2"/>
      </w:pPr>
      <w:r>
        <w:t>Objectifs</w:t>
      </w:r>
      <w:r>
        <w:t xml:space="preserve"> :</w:t>
      </w:r>
    </w:p>
    <w:p w14:paraId="00000012" w14:textId="77777777" w:rsidR="00A36256" w:rsidRDefault="00D63168">
      <w:pPr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Donner :</w:t>
      </w:r>
    </w:p>
    <w:p w14:paraId="00000013" w14:textId="77777777" w:rsidR="00A36256" w:rsidRDefault="00D63168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La chronologie de développement d’un nouveau médicament</w:t>
      </w:r>
    </w:p>
    <w:p w14:paraId="00000014" w14:textId="77777777" w:rsidR="00A36256" w:rsidRDefault="00D63168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Les différentes phases de la pharma</w:t>
      </w:r>
      <w:r>
        <w:rPr>
          <w:sz w:val="20"/>
          <w:szCs w:val="20"/>
        </w:rPr>
        <w:t>cologie expérimentale</w:t>
      </w:r>
    </w:p>
    <w:p w14:paraId="00000015" w14:textId="77777777" w:rsidR="00A36256" w:rsidRDefault="00D63168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Différentes phases des essais cliniques</w:t>
      </w:r>
    </w:p>
    <w:p w14:paraId="00000016" w14:textId="77777777" w:rsidR="00A36256" w:rsidRDefault="00D63168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La constitution du dossier d’AMM</w:t>
      </w:r>
    </w:p>
    <w:p w14:paraId="00000017" w14:textId="77777777" w:rsidR="00A36256" w:rsidRDefault="00D63168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Le devenir post-AMM du médicament</w:t>
      </w:r>
    </w:p>
    <w:p w14:paraId="00000018" w14:textId="77777777" w:rsidR="00A36256" w:rsidRDefault="00D63168" w:rsidP="003D2F6D">
      <w:pPr>
        <w:pStyle w:val="Titre1"/>
      </w:pPr>
      <w:r>
        <w:t>SELECTION DES MOLECULES ET PREPARATION</w:t>
      </w:r>
    </w:p>
    <w:p w14:paraId="00000019" w14:textId="77777777" w:rsidR="00A36256" w:rsidRDefault="00D63168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>
        <w:rPr>
          <w:sz w:val="20"/>
          <w:szCs w:val="20"/>
        </w:rPr>
        <w:t>récision sur la maladie à traiter ou à prévenir et faisant l’objet de développement de nouveau(x) médicament(s) (exemple : HTA, ...)</w:t>
      </w:r>
    </w:p>
    <w:p w14:paraId="0000001A" w14:textId="77777777" w:rsidR="00A36256" w:rsidRDefault="00D63168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Explorations des molécules susceptibles d’agir et disponibles :</w:t>
      </w:r>
    </w:p>
    <w:p w14:paraId="0000001B" w14:textId="77777777" w:rsidR="00A36256" w:rsidRDefault="00D63168">
      <w:pPr>
        <w:numPr>
          <w:ilvl w:val="1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Balayage de “bibliothèque” de composés</w:t>
      </w:r>
    </w:p>
    <w:p w14:paraId="0000001C" w14:textId="77777777" w:rsidR="00A36256" w:rsidRDefault="00D63168">
      <w:pPr>
        <w:numPr>
          <w:ilvl w:val="1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Identification des </w:t>
      </w:r>
      <w:r>
        <w:rPr>
          <w:sz w:val="20"/>
          <w:szCs w:val="20"/>
        </w:rPr>
        <w:t>nouveaux composés/produits pouvant répondre à la maladie ciblée (à breveter)</w:t>
      </w:r>
    </w:p>
    <w:p w14:paraId="0000001D" w14:textId="77777777" w:rsidR="00A36256" w:rsidRDefault="00D63168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Mise sous formes galéniques adaptées aux voies d’administration des produits sélectionnés</w:t>
      </w:r>
    </w:p>
    <w:p w14:paraId="0000001E" w14:textId="77777777" w:rsidR="00A36256" w:rsidRDefault="00D63168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Garantie d’activité, stabilité, acceptabilité et innocuité</w:t>
      </w:r>
    </w:p>
    <w:p w14:paraId="0000001F" w14:textId="77777777" w:rsidR="00A36256" w:rsidRDefault="00D63168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Contrôle de stabilité</w:t>
      </w:r>
    </w:p>
    <w:p w14:paraId="00000020" w14:textId="77777777" w:rsidR="00A36256" w:rsidRDefault="00D63168">
      <w:pPr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Durée moyenne : 2,9 ans</w:t>
      </w:r>
    </w:p>
    <w:p w14:paraId="00000021" w14:textId="77777777" w:rsidR="00A36256" w:rsidRDefault="00D63168">
      <w:pPr>
        <w:rPr>
          <w:sz w:val="20"/>
          <w:szCs w:val="20"/>
        </w:rPr>
      </w:pPr>
      <w:r>
        <w:rPr>
          <w:sz w:val="20"/>
          <w:szCs w:val="20"/>
        </w:rPr>
        <w:t>Au final : 10.000 molécules retenues</w:t>
      </w:r>
    </w:p>
    <w:p w14:paraId="00000022" w14:textId="77777777" w:rsidR="00A36256" w:rsidRDefault="00D63168" w:rsidP="003D2F6D">
      <w:pPr>
        <w:pStyle w:val="Titre1"/>
      </w:pPr>
      <w:r>
        <w:lastRenderedPageBreak/>
        <w:t>RECHERCHE PRECLINIQUE</w:t>
      </w:r>
    </w:p>
    <w:p w14:paraId="00000023" w14:textId="77777777" w:rsidR="00A36256" w:rsidRDefault="00D63168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Phase précédant immédiatement les essais cliniques</w:t>
      </w:r>
    </w:p>
    <w:p w14:paraId="00000024" w14:textId="77777777" w:rsidR="00A36256" w:rsidRDefault="00D63168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Durée moyenne : 1,5 ans</w:t>
      </w:r>
    </w:p>
    <w:p w14:paraId="00000025" w14:textId="77777777" w:rsidR="00A36256" w:rsidRDefault="00D63168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Phase expérimentale effectuée sur :</w:t>
      </w:r>
    </w:p>
    <w:p w14:paraId="00000026" w14:textId="77777777" w:rsidR="00A36256" w:rsidRDefault="00D63168">
      <w:pPr>
        <w:numPr>
          <w:ilvl w:val="1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Des cultures cellulaires in vitro</w:t>
      </w:r>
    </w:p>
    <w:p w14:paraId="00000027" w14:textId="77777777" w:rsidR="00A36256" w:rsidRDefault="00D63168">
      <w:pPr>
        <w:numPr>
          <w:ilvl w:val="1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Animau</w:t>
      </w:r>
      <w:r>
        <w:rPr>
          <w:sz w:val="20"/>
          <w:szCs w:val="20"/>
        </w:rPr>
        <w:t xml:space="preserve">x in vivo (actuellement, recherche d’alternative pour remplacer les animaux) </w:t>
      </w:r>
    </w:p>
    <w:p w14:paraId="00000028" w14:textId="77777777" w:rsidR="00A36256" w:rsidRDefault="00D63168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Etudes de :</w:t>
      </w:r>
    </w:p>
    <w:p w14:paraId="00000029" w14:textId="77777777" w:rsidR="00A36256" w:rsidRDefault="00D63168">
      <w:pPr>
        <w:numPr>
          <w:ilvl w:val="1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Sécurité et toxicité : en vue de l’utiliser plus tard chez les humains</w:t>
      </w:r>
    </w:p>
    <w:p w14:paraId="0000002A" w14:textId="77777777" w:rsidR="00A36256" w:rsidRDefault="00D63168">
      <w:pPr>
        <w:numPr>
          <w:ilvl w:val="1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Aspects chimiques : pureté, stabilité, ...</w:t>
      </w:r>
    </w:p>
    <w:p w14:paraId="0000002B" w14:textId="77777777" w:rsidR="00A36256" w:rsidRDefault="00D63168">
      <w:pPr>
        <w:numPr>
          <w:ilvl w:val="1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Mécanismes d’action possibles et effet(s) répondant </w:t>
      </w:r>
      <w:r>
        <w:rPr>
          <w:sz w:val="20"/>
          <w:szCs w:val="20"/>
        </w:rPr>
        <w:t>à la maladie précisée au départ (prévention, traitement, ...)</w:t>
      </w:r>
    </w:p>
    <w:p w14:paraId="0000002C" w14:textId="77777777" w:rsidR="00A36256" w:rsidRDefault="00D63168" w:rsidP="003D2F6D">
      <w:pPr>
        <w:pStyle w:val="Titre2"/>
      </w:pPr>
      <w:r>
        <w:t>Etude de la toxicité aiguë</w:t>
      </w:r>
    </w:p>
    <w:p w14:paraId="0000002D" w14:textId="77777777" w:rsidR="00A36256" w:rsidRDefault="00D63168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Administration d’une dose unique ou de plusieurs doses d’une molécule</w:t>
      </w:r>
    </w:p>
    <w:p w14:paraId="0000002E" w14:textId="77777777" w:rsidR="00A36256" w:rsidRDefault="00D63168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Enregistrement des effets toxiques à court terme pour prédire les effets indésirables et la toxic</w:t>
      </w:r>
      <w:r>
        <w:rPr>
          <w:sz w:val="20"/>
          <w:szCs w:val="20"/>
        </w:rPr>
        <w:t>ité chez l’homme</w:t>
      </w:r>
    </w:p>
    <w:p w14:paraId="0000002F" w14:textId="77777777" w:rsidR="00A36256" w:rsidRDefault="00D63168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Définition de :</w:t>
      </w:r>
    </w:p>
    <w:p w14:paraId="00000030" w14:textId="77777777" w:rsidR="00A36256" w:rsidRDefault="00D63168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Dose létale 50 (DL50) : quantité de molécule administré qui peut tuer la moitié des animaux d’expériences ou la moitié des cellules en culture utilisées</w:t>
      </w:r>
    </w:p>
    <w:p w14:paraId="00000031" w14:textId="77777777" w:rsidR="00A36256" w:rsidRDefault="00D63168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Dose létale 100 (DL100) : dose minimale de molécule capable de tuer la totalité des animaux d’expérienc</w:t>
      </w:r>
      <w:r>
        <w:rPr>
          <w:sz w:val="20"/>
          <w:szCs w:val="20"/>
        </w:rPr>
        <w:t>e</w:t>
      </w:r>
    </w:p>
    <w:p w14:paraId="00000032" w14:textId="77777777" w:rsidR="00A36256" w:rsidRDefault="00D63168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Dose maximale tolérée (DMT) : dose maximale tolérée par l’organisme au-delà de laquelle </w:t>
      </w:r>
      <w:proofErr w:type="spellStart"/>
      <w:r>
        <w:rPr>
          <w:sz w:val="20"/>
          <w:szCs w:val="20"/>
        </w:rPr>
        <w:t>apparaîssent</w:t>
      </w:r>
      <w:proofErr w:type="spellEnd"/>
      <w:r>
        <w:rPr>
          <w:sz w:val="20"/>
          <w:szCs w:val="20"/>
        </w:rPr>
        <w:t xml:space="preserve"> les effets indésirables/toxiques </w:t>
      </w:r>
    </w:p>
    <w:p w14:paraId="00000033" w14:textId="77777777" w:rsidR="00A36256" w:rsidRDefault="00D63168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Observation et enregistrement des lésions aiguës éventuelles des organes, tissus, cellules </w:t>
      </w:r>
    </w:p>
    <w:p w14:paraId="00000034" w14:textId="77777777" w:rsidR="00A36256" w:rsidRDefault="00D63168" w:rsidP="003D2F6D">
      <w:pPr>
        <w:pStyle w:val="Titre2"/>
      </w:pPr>
      <w:r>
        <w:t>Etude de la toxicité chroni</w:t>
      </w:r>
      <w:r>
        <w:t>que</w:t>
      </w:r>
    </w:p>
    <w:p w14:paraId="00000035" w14:textId="77777777" w:rsidR="00A36256" w:rsidRDefault="00D63168">
      <w:pPr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Administration à long terme (mois-années) et répétée de chaque produit sélectionné</w:t>
      </w:r>
    </w:p>
    <w:p w14:paraId="00000036" w14:textId="77777777" w:rsidR="00A36256" w:rsidRDefault="00D63168">
      <w:pPr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Enregistrement des effets toxiques éventuels pouvant apparaître, y compris au niveau des organes, tissus, cellules, ...</w:t>
      </w:r>
    </w:p>
    <w:p w14:paraId="00000037" w14:textId="77777777" w:rsidR="00A36256" w:rsidRDefault="00D63168">
      <w:pPr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Réalisation d’études ciblées :</w:t>
      </w:r>
    </w:p>
    <w:p w14:paraId="00000038" w14:textId="77777777" w:rsidR="00A36256" w:rsidRDefault="00D63168">
      <w:pPr>
        <w:numPr>
          <w:ilvl w:val="1"/>
          <w:numId w:val="21"/>
        </w:numPr>
        <w:rPr>
          <w:sz w:val="20"/>
          <w:szCs w:val="20"/>
        </w:rPr>
      </w:pPr>
      <w:r>
        <w:rPr>
          <w:b/>
          <w:sz w:val="20"/>
          <w:szCs w:val="20"/>
        </w:rPr>
        <w:t>Tératogenèse</w:t>
      </w:r>
      <w:r>
        <w:rPr>
          <w:sz w:val="20"/>
          <w:szCs w:val="20"/>
        </w:rPr>
        <w:t xml:space="preserve"> : pro</w:t>
      </w:r>
      <w:r>
        <w:rPr>
          <w:sz w:val="20"/>
          <w:szCs w:val="20"/>
        </w:rPr>
        <w:t xml:space="preserve">duction de malformation, développement “anormal” de masses cellulaires durant la croissance du produit de la conception, causant des déformations </w:t>
      </w:r>
      <w:proofErr w:type="spellStart"/>
      <w:r>
        <w:rPr>
          <w:sz w:val="20"/>
          <w:szCs w:val="20"/>
        </w:rPr>
        <w:t>embryo-foetales</w:t>
      </w:r>
      <w:proofErr w:type="spellEnd"/>
    </w:p>
    <w:p w14:paraId="00000039" w14:textId="77777777" w:rsidR="00A36256" w:rsidRDefault="00D63168">
      <w:pPr>
        <w:numPr>
          <w:ilvl w:val="1"/>
          <w:numId w:val="21"/>
        </w:numPr>
        <w:rPr>
          <w:sz w:val="20"/>
          <w:szCs w:val="20"/>
        </w:rPr>
      </w:pPr>
      <w:r>
        <w:rPr>
          <w:b/>
          <w:sz w:val="20"/>
          <w:szCs w:val="20"/>
        </w:rPr>
        <w:t>Génotoxicité</w:t>
      </w:r>
      <w:r>
        <w:rPr>
          <w:sz w:val="20"/>
          <w:szCs w:val="20"/>
        </w:rPr>
        <w:t xml:space="preserve"> : effets directs sur le matériel génétique, sans production pour autant des mutat</w:t>
      </w:r>
      <w:r>
        <w:rPr>
          <w:sz w:val="20"/>
          <w:szCs w:val="20"/>
        </w:rPr>
        <w:t>ions</w:t>
      </w:r>
    </w:p>
    <w:p w14:paraId="0000003A" w14:textId="77777777" w:rsidR="00A36256" w:rsidRDefault="00D63168">
      <w:pPr>
        <w:numPr>
          <w:ilvl w:val="1"/>
          <w:numId w:val="21"/>
        </w:numPr>
        <w:rPr>
          <w:sz w:val="20"/>
          <w:szCs w:val="20"/>
        </w:rPr>
      </w:pPr>
      <w:r>
        <w:rPr>
          <w:b/>
          <w:sz w:val="20"/>
          <w:szCs w:val="20"/>
        </w:rPr>
        <w:t>Mutagenèse</w:t>
      </w:r>
      <w:r>
        <w:rPr>
          <w:sz w:val="20"/>
          <w:szCs w:val="20"/>
        </w:rPr>
        <w:t xml:space="preserve"> : administration prolongée chez une ou plusieurs générations successives d’animaux à l’origine de modifications génétiques (mutations)</w:t>
      </w:r>
    </w:p>
    <w:p w14:paraId="0000003B" w14:textId="77777777" w:rsidR="00A36256" w:rsidRDefault="00D63168">
      <w:pPr>
        <w:numPr>
          <w:ilvl w:val="1"/>
          <w:numId w:val="21"/>
        </w:numPr>
        <w:rPr>
          <w:sz w:val="20"/>
          <w:szCs w:val="20"/>
        </w:rPr>
      </w:pPr>
      <w:r>
        <w:rPr>
          <w:b/>
          <w:sz w:val="20"/>
          <w:szCs w:val="20"/>
        </w:rPr>
        <w:t>Oncogenèse</w:t>
      </w:r>
      <w:r>
        <w:rPr>
          <w:sz w:val="20"/>
          <w:szCs w:val="20"/>
        </w:rPr>
        <w:t xml:space="preserve"> : administration prolongée d’une substance pouvant être cancérigène</w:t>
      </w:r>
    </w:p>
    <w:p w14:paraId="0000003C" w14:textId="77777777" w:rsidR="00A36256" w:rsidRDefault="00D63168">
      <w:pPr>
        <w:numPr>
          <w:ilvl w:val="1"/>
          <w:numId w:val="21"/>
        </w:numPr>
        <w:rPr>
          <w:sz w:val="20"/>
          <w:szCs w:val="20"/>
        </w:rPr>
      </w:pPr>
      <w:r>
        <w:rPr>
          <w:b/>
          <w:sz w:val="20"/>
          <w:szCs w:val="20"/>
        </w:rPr>
        <w:t>Reproduction</w:t>
      </w:r>
      <w:r>
        <w:rPr>
          <w:sz w:val="20"/>
          <w:szCs w:val="20"/>
        </w:rPr>
        <w:t xml:space="preserve"> : prise de pr</w:t>
      </w:r>
      <w:r>
        <w:rPr>
          <w:sz w:val="20"/>
          <w:szCs w:val="20"/>
        </w:rPr>
        <w:t>oduit ayant des effets sur la fertilité des animaux, l’ovulation, la qualité des spermatozoïdes (mobilité, morphologie, quantité par unité de volume)</w:t>
      </w:r>
    </w:p>
    <w:p w14:paraId="0000003D" w14:textId="77777777" w:rsidR="00A36256" w:rsidRDefault="00D63168">
      <w:pPr>
        <w:numPr>
          <w:ilvl w:val="1"/>
          <w:numId w:val="21"/>
        </w:numPr>
        <w:rPr>
          <w:sz w:val="20"/>
          <w:szCs w:val="20"/>
        </w:rPr>
      </w:pPr>
      <w:r>
        <w:rPr>
          <w:b/>
          <w:sz w:val="20"/>
          <w:szCs w:val="20"/>
        </w:rPr>
        <w:t>Tolérance locale :</w:t>
      </w:r>
      <w:r>
        <w:rPr>
          <w:sz w:val="20"/>
          <w:szCs w:val="20"/>
        </w:rPr>
        <w:t xml:space="preserve"> administration régulière d’une substance par une voie donnée provoquant-t-elle ou pas u</w:t>
      </w:r>
      <w:r>
        <w:rPr>
          <w:sz w:val="20"/>
          <w:szCs w:val="20"/>
        </w:rPr>
        <w:t xml:space="preserve">ne intolérance ou une hypersensibilité, comme irritation de la bouche ou lésions de l’estomac, lésions ou réaction allergique sur la peau </w:t>
      </w:r>
    </w:p>
    <w:p w14:paraId="0000003E" w14:textId="77777777" w:rsidR="00A36256" w:rsidRDefault="00D63168" w:rsidP="003D2F6D">
      <w:pPr>
        <w:pStyle w:val="Titre2"/>
      </w:pPr>
      <w:r>
        <w:t>Etude pharmacologique</w:t>
      </w:r>
    </w:p>
    <w:p w14:paraId="0000003F" w14:textId="77777777" w:rsidR="00A36256" w:rsidRDefault="00D63168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Pharmacocinétique :</w:t>
      </w:r>
    </w:p>
    <w:p w14:paraId="00000040" w14:textId="60C0380A" w:rsidR="00A36256" w:rsidRDefault="00D63168">
      <w:pPr>
        <w:numPr>
          <w:ilvl w:val="1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Evolution du produit dans l’organisme animal (absorption/résorption, diffus</w:t>
      </w:r>
      <w:r>
        <w:rPr>
          <w:sz w:val="20"/>
          <w:szCs w:val="20"/>
        </w:rPr>
        <w:t>ion, métabolisme, élimination)</w:t>
      </w:r>
      <w:r w:rsidR="003D2F6D">
        <w:rPr>
          <w:sz w:val="20"/>
          <w:szCs w:val="20"/>
        </w:rPr>
        <w:t xml:space="preserve"> </w:t>
      </w:r>
      <w:r>
        <w:rPr>
          <w:sz w:val="20"/>
          <w:szCs w:val="20"/>
        </w:rPr>
        <w:t>?</w:t>
      </w:r>
    </w:p>
    <w:p w14:paraId="00000041" w14:textId="75C714A3" w:rsidR="00A36256" w:rsidRDefault="003D2F6D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Pharmacodynamie</w:t>
      </w:r>
      <w:r w:rsidR="00D63168">
        <w:rPr>
          <w:sz w:val="20"/>
          <w:szCs w:val="20"/>
        </w:rPr>
        <w:t xml:space="preserve"> :</w:t>
      </w:r>
    </w:p>
    <w:p w14:paraId="00000042" w14:textId="77777777" w:rsidR="00A36256" w:rsidRDefault="00D63168">
      <w:pPr>
        <w:numPr>
          <w:ilvl w:val="1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Action et effets dans l’organisme (pas encore prioritaire, mais pouvant être effectué)</w:t>
      </w:r>
    </w:p>
    <w:p w14:paraId="00000043" w14:textId="77777777" w:rsidR="00A36256" w:rsidRDefault="00A36256">
      <w:pPr>
        <w:rPr>
          <w:sz w:val="20"/>
          <w:szCs w:val="20"/>
        </w:rPr>
      </w:pPr>
    </w:p>
    <w:p w14:paraId="00000044" w14:textId="77777777" w:rsidR="00A36256" w:rsidRDefault="00D63168">
      <w:pPr>
        <w:rPr>
          <w:sz w:val="20"/>
          <w:szCs w:val="20"/>
        </w:rPr>
      </w:pPr>
      <w:r>
        <w:rPr>
          <w:sz w:val="20"/>
          <w:szCs w:val="20"/>
        </w:rPr>
        <w:lastRenderedPageBreak/>
        <w:t>Au terme de la phase préclinique :</w:t>
      </w:r>
    </w:p>
    <w:p w14:paraId="00000045" w14:textId="77777777" w:rsidR="00A36256" w:rsidRDefault="00D63168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Preuve de non toxicité</w:t>
      </w:r>
    </w:p>
    <w:p w14:paraId="00000046" w14:textId="77777777" w:rsidR="00A36256" w:rsidRDefault="00D63168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Preuve d’efficacité</w:t>
      </w:r>
    </w:p>
    <w:p w14:paraId="00000047" w14:textId="50712292" w:rsidR="00A36256" w:rsidRDefault="003D2F6D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Informations sures</w:t>
      </w:r>
      <w:r w:rsidR="00D63168">
        <w:rPr>
          <w:sz w:val="20"/>
          <w:szCs w:val="20"/>
        </w:rPr>
        <w:t xml:space="preserve"> : mutagenèse, génotoxicité, cancérogenèse, fonctions de reproduction, tératogénicité, ...</w:t>
      </w:r>
    </w:p>
    <w:p w14:paraId="00000048" w14:textId="77777777" w:rsidR="00A36256" w:rsidRDefault="00D63168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Pharmacocinétique</w:t>
      </w:r>
    </w:p>
    <w:p w14:paraId="00000049" w14:textId="77777777" w:rsidR="00A36256" w:rsidRDefault="00D63168">
      <w:pPr>
        <w:rPr>
          <w:sz w:val="20"/>
          <w:szCs w:val="20"/>
        </w:rPr>
      </w:pPr>
      <w:r>
        <w:rPr>
          <w:sz w:val="20"/>
          <w:szCs w:val="20"/>
        </w:rPr>
        <w:t>Ces informations sont obtenus in vitro et chez l’animal (utilisation de 3 espèces animal : 2 rongeurs et 1 non rongeurs)</w:t>
      </w:r>
    </w:p>
    <w:p w14:paraId="0000004A" w14:textId="77777777" w:rsidR="00A36256" w:rsidRDefault="00D63168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Au final, </w:t>
      </w:r>
      <w:r>
        <w:rPr>
          <w:b/>
          <w:sz w:val="20"/>
          <w:szCs w:val="20"/>
        </w:rPr>
        <w:t>250 molécules retenues</w:t>
      </w:r>
    </w:p>
    <w:p w14:paraId="0000004B" w14:textId="54FF839E" w:rsidR="00A36256" w:rsidRDefault="00D63168" w:rsidP="003D2F6D">
      <w:pPr>
        <w:pStyle w:val="Titre1"/>
      </w:pPr>
      <w:r>
        <w:t xml:space="preserve"> </w:t>
      </w:r>
      <w:r>
        <w:t>ESSAIS CLINIQES</w:t>
      </w:r>
    </w:p>
    <w:p w14:paraId="0000004C" w14:textId="77777777" w:rsidR="00A36256" w:rsidRDefault="00D63168">
      <w:pPr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Etudes effectuées sur</w:t>
      </w:r>
    </w:p>
    <w:p w14:paraId="0000004D" w14:textId="77777777" w:rsidR="00A36256" w:rsidRDefault="00D63168">
      <w:pPr>
        <w:numPr>
          <w:ilvl w:val="1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Volontaires sains H ou F, H uniquement ou F uniquement (phase I)</w:t>
      </w:r>
    </w:p>
    <w:p w14:paraId="0000004E" w14:textId="77777777" w:rsidR="00A36256" w:rsidRDefault="00D63168">
      <w:pPr>
        <w:numPr>
          <w:ilvl w:val="1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Personnes malades H / F, H ou F (phases II et III) </w:t>
      </w:r>
    </w:p>
    <w:p w14:paraId="0000004F" w14:textId="77777777" w:rsidR="00A36256" w:rsidRDefault="00D63168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Durée moyenne : 5,7 ans</w:t>
      </w:r>
    </w:p>
    <w:p w14:paraId="00000050" w14:textId="77777777" w:rsidR="00A36256" w:rsidRDefault="00D63168" w:rsidP="003D2F6D">
      <w:pPr>
        <w:pStyle w:val="Titre2"/>
      </w:pPr>
      <w:r>
        <w:t>Phase I :</w:t>
      </w:r>
    </w:p>
    <w:p w14:paraId="00000051" w14:textId="77777777" w:rsidR="00A36256" w:rsidRDefault="00D63168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Etude faite sur VOLONTAIRES SAIN</w:t>
      </w:r>
      <w:r>
        <w:rPr>
          <w:sz w:val="20"/>
          <w:szCs w:val="20"/>
        </w:rPr>
        <w:t>S</w:t>
      </w:r>
    </w:p>
    <w:p w14:paraId="00000052" w14:textId="77777777" w:rsidR="00A36256" w:rsidRDefault="00D63168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Participants par étude : entre 20 et 100 volontaires sains (H / F)</w:t>
      </w:r>
    </w:p>
    <w:p w14:paraId="00000053" w14:textId="77777777" w:rsidR="00A36256" w:rsidRDefault="00D63168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Interdits sur les enfants, adolescents, personnes âgées et femme enceinte</w:t>
      </w:r>
    </w:p>
    <w:p w14:paraId="00000054" w14:textId="77777777" w:rsidR="00A36256" w:rsidRDefault="00D63168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But surtout de garantir la sécurité :</w:t>
      </w:r>
    </w:p>
    <w:p w14:paraId="00000055" w14:textId="77777777" w:rsidR="00A36256" w:rsidRDefault="00D63168">
      <w:pPr>
        <w:numPr>
          <w:ilvl w:val="1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Définition d’un profil de sécurité</w:t>
      </w:r>
    </w:p>
    <w:p w14:paraId="00000056" w14:textId="77777777" w:rsidR="00A36256" w:rsidRDefault="00D63168">
      <w:pPr>
        <w:numPr>
          <w:ilvl w:val="1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Définition d’un dosage sans risque et de</w:t>
      </w:r>
      <w:r>
        <w:rPr>
          <w:sz w:val="20"/>
          <w:szCs w:val="20"/>
        </w:rPr>
        <w:t xml:space="preserve"> marges de sécurités pour la phase II</w:t>
      </w:r>
    </w:p>
    <w:p w14:paraId="00000057" w14:textId="070ECFE1" w:rsidR="00A36256" w:rsidRDefault="00D63168">
      <w:pPr>
        <w:numPr>
          <w:ilvl w:val="1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Etudes pharmacocinétiques, si possible pharmacodynamique (surtout pharmacocinétique (idem à ceux chez l’animal</w:t>
      </w:r>
      <w:r w:rsidR="003D2F6D">
        <w:rPr>
          <w:sz w:val="20"/>
          <w:szCs w:val="20"/>
        </w:rPr>
        <w:t xml:space="preserve"> </w:t>
      </w:r>
      <w:r>
        <w:rPr>
          <w:sz w:val="20"/>
          <w:szCs w:val="20"/>
        </w:rPr>
        <w:t>?)</w:t>
      </w:r>
    </w:p>
    <w:p w14:paraId="00000058" w14:textId="77777777" w:rsidR="00A36256" w:rsidRDefault="00D63168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Fin de la phase I : </w:t>
      </w:r>
      <w:r>
        <w:rPr>
          <w:b/>
          <w:sz w:val="20"/>
          <w:szCs w:val="20"/>
        </w:rPr>
        <w:t xml:space="preserve">le produit est-il sûr pour continuer à la phase </w:t>
      </w:r>
      <w:proofErr w:type="gramStart"/>
      <w:r>
        <w:rPr>
          <w:b/>
          <w:sz w:val="20"/>
          <w:szCs w:val="20"/>
        </w:rPr>
        <w:t>II?</w:t>
      </w:r>
      <w:proofErr w:type="gramEnd"/>
    </w:p>
    <w:p w14:paraId="00000059" w14:textId="77777777" w:rsidR="00A36256" w:rsidRDefault="00D63168" w:rsidP="003D2F6D">
      <w:pPr>
        <w:pStyle w:val="Titre2"/>
      </w:pPr>
      <w:r>
        <w:t>Phase II :</w:t>
      </w:r>
    </w:p>
    <w:p w14:paraId="0000005A" w14:textId="77777777" w:rsidR="00A36256" w:rsidRDefault="00D63168">
      <w:pPr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Etudes menées sur de p</w:t>
      </w:r>
      <w:r>
        <w:rPr>
          <w:sz w:val="20"/>
          <w:szCs w:val="20"/>
        </w:rPr>
        <w:t>etits groupes de PATIENTS (20 à 100 patients H / F)</w:t>
      </w:r>
    </w:p>
    <w:p w14:paraId="0000005B" w14:textId="77777777" w:rsidR="00A36256" w:rsidRDefault="00D63168">
      <w:pPr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Objectifs :</w:t>
      </w:r>
    </w:p>
    <w:p w14:paraId="0000005C" w14:textId="77777777" w:rsidR="00A36256" w:rsidRDefault="00D63168">
      <w:pPr>
        <w:numPr>
          <w:ilvl w:val="1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Etablir la relation dose-effet du produit sur un petit nombre de patients</w:t>
      </w:r>
    </w:p>
    <w:p w14:paraId="0000005D" w14:textId="77777777" w:rsidR="00A36256" w:rsidRDefault="00D63168">
      <w:pPr>
        <w:numPr>
          <w:ilvl w:val="1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Déterminer les propriétés pharmacodynamiques</w:t>
      </w:r>
    </w:p>
    <w:p w14:paraId="0000005E" w14:textId="77777777" w:rsidR="00A36256" w:rsidRDefault="00D63168">
      <w:pPr>
        <w:numPr>
          <w:ilvl w:val="1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Poursuivre les études de la pharmacocinétique</w:t>
      </w:r>
    </w:p>
    <w:p w14:paraId="0000005F" w14:textId="77777777" w:rsidR="00A36256" w:rsidRDefault="00D63168">
      <w:pPr>
        <w:numPr>
          <w:ilvl w:val="1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Vérifier l’hypothèse d’efficacité thérapeutique</w:t>
      </w:r>
    </w:p>
    <w:p w14:paraId="00000060" w14:textId="77777777" w:rsidR="00A36256" w:rsidRDefault="00D63168">
      <w:pPr>
        <w:numPr>
          <w:ilvl w:val="1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 xml:space="preserve">Préciser les posologies à utiliser lors des essais de la phase III : </w:t>
      </w:r>
      <w:r>
        <w:rPr>
          <w:b/>
          <w:sz w:val="20"/>
          <w:szCs w:val="20"/>
        </w:rPr>
        <w:t>recherche de la dose optimale</w:t>
      </w:r>
    </w:p>
    <w:p w14:paraId="00000061" w14:textId="77777777" w:rsidR="00A36256" w:rsidRDefault="00D63168">
      <w:pPr>
        <w:numPr>
          <w:ilvl w:val="1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Etudier l’efficacité</w:t>
      </w:r>
    </w:p>
    <w:p w14:paraId="00000062" w14:textId="77777777" w:rsidR="00A36256" w:rsidRDefault="00D63168">
      <w:pPr>
        <w:numPr>
          <w:ilvl w:val="1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Approfondir la recherche en matière de sécurité (toxicologie, effets indésirables)</w:t>
      </w:r>
    </w:p>
    <w:p w14:paraId="00000063" w14:textId="77777777" w:rsidR="00A36256" w:rsidRDefault="00D63168">
      <w:pPr>
        <w:numPr>
          <w:ilvl w:val="1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Défin</w:t>
      </w:r>
      <w:r>
        <w:rPr>
          <w:sz w:val="20"/>
          <w:szCs w:val="20"/>
        </w:rPr>
        <w:t>ir un premier schéma de dosage</w:t>
      </w:r>
    </w:p>
    <w:p w14:paraId="00000064" w14:textId="77777777" w:rsidR="00A36256" w:rsidRDefault="00D63168">
      <w:pPr>
        <w:numPr>
          <w:ilvl w:val="1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 xml:space="preserve">Approfondir la recherche sur les plans pharmacocinétique et pharmacodynamique </w:t>
      </w:r>
    </w:p>
    <w:p w14:paraId="00000065" w14:textId="77777777" w:rsidR="00A36256" w:rsidRDefault="00D63168">
      <w:pPr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 xml:space="preserve">A la fin de la phase II : </w:t>
      </w:r>
      <w:r>
        <w:rPr>
          <w:b/>
          <w:sz w:val="20"/>
          <w:szCs w:val="20"/>
        </w:rPr>
        <w:t xml:space="preserve">le produit </w:t>
      </w:r>
      <w:proofErr w:type="spellStart"/>
      <w:r>
        <w:rPr>
          <w:b/>
          <w:sz w:val="20"/>
          <w:szCs w:val="20"/>
        </w:rPr>
        <w:t>sert-il</w:t>
      </w:r>
      <w:proofErr w:type="spellEnd"/>
      <w:r>
        <w:rPr>
          <w:b/>
          <w:sz w:val="20"/>
          <w:szCs w:val="20"/>
        </w:rPr>
        <w:t xml:space="preserve"> à quelque chose pour continuer à la phase III ?  </w:t>
      </w:r>
    </w:p>
    <w:p w14:paraId="00000066" w14:textId="77777777" w:rsidR="00A36256" w:rsidRDefault="00D63168" w:rsidP="003D2F6D">
      <w:pPr>
        <w:pStyle w:val="Titre2"/>
      </w:pPr>
      <w:r>
        <w:t>Phase III</w:t>
      </w:r>
    </w:p>
    <w:p w14:paraId="00000067" w14:textId="77777777" w:rsidR="00A36256" w:rsidRDefault="00D63168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Etudes menées sur de petits groupes de PA</w:t>
      </w:r>
      <w:r>
        <w:rPr>
          <w:sz w:val="20"/>
          <w:szCs w:val="20"/>
        </w:rPr>
        <w:t>TIENTS (1000 à 5000 patients M / F)</w:t>
      </w:r>
    </w:p>
    <w:p w14:paraId="00000068" w14:textId="77777777" w:rsidR="00A36256" w:rsidRDefault="00D63168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Objectifs :</w:t>
      </w:r>
    </w:p>
    <w:p w14:paraId="00000069" w14:textId="77777777" w:rsidR="00A36256" w:rsidRDefault="00D63168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Apprécier l’effet thérapeutique</w:t>
      </w:r>
    </w:p>
    <w:p w14:paraId="0000006A" w14:textId="77777777" w:rsidR="00A36256" w:rsidRDefault="00D63168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Circonscrire les effets indésirables les plus fréquents</w:t>
      </w:r>
    </w:p>
    <w:p w14:paraId="0000006B" w14:textId="77777777" w:rsidR="00A36256" w:rsidRDefault="00D63168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Evaluer à moyen terme le bilan efficacité/sécurité (rapport bénéfice/risque)</w:t>
      </w:r>
    </w:p>
    <w:p w14:paraId="0000006C" w14:textId="77777777" w:rsidR="00A36256" w:rsidRDefault="00D63168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Les buts étants de :</w:t>
      </w:r>
    </w:p>
    <w:p w14:paraId="0000006D" w14:textId="77777777" w:rsidR="00A36256" w:rsidRDefault="00D63168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Répertorier les effets indésirables</w:t>
      </w:r>
    </w:p>
    <w:p w14:paraId="0000006E" w14:textId="77777777" w:rsidR="00A36256" w:rsidRDefault="00D63168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Collecter de données statistiques visant à reconfirmer les résultats de la phase II (efficacité, sécurité, pharmacocinétiq</w:t>
      </w:r>
      <w:r>
        <w:rPr>
          <w:sz w:val="20"/>
          <w:szCs w:val="20"/>
        </w:rPr>
        <w:t xml:space="preserve">ue, ...) pour la préparation des dossiers d’enregistrement pour l’obtention de l’AMM </w:t>
      </w:r>
    </w:p>
    <w:p w14:paraId="0000006F" w14:textId="58D272D1" w:rsidR="00A36256" w:rsidRDefault="00D63168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A la fin de la phase III : </w:t>
      </w:r>
      <w:r>
        <w:rPr>
          <w:b/>
          <w:sz w:val="20"/>
          <w:szCs w:val="20"/>
        </w:rPr>
        <w:t xml:space="preserve">est-ce que le produit peut être utilisé pour le traitement de malades ou pour la prévention de </w:t>
      </w:r>
      <w:r w:rsidR="003D2F6D">
        <w:rPr>
          <w:b/>
          <w:sz w:val="20"/>
          <w:szCs w:val="20"/>
        </w:rPr>
        <w:t>maladie ?</w:t>
      </w:r>
      <w:r>
        <w:rPr>
          <w:b/>
          <w:i/>
          <w:sz w:val="20"/>
          <w:szCs w:val="20"/>
        </w:rPr>
        <w:t xml:space="preserve"> (</w:t>
      </w:r>
      <w:r w:rsidR="003D2F6D">
        <w:rPr>
          <w:b/>
          <w:i/>
          <w:sz w:val="20"/>
          <w:szCs w:val="20"/>
        </w:rPr>
        <w:t>Celle</w:t>
      </w:r>
      <w:r>
        <w:rPr>
          <w:b/>
          <w:i/>
          <w:sz w:val="20"/>
          <w:szCs w:val="20"/>
        </w:rPr>
        <w:t xml:space="preserve"> définie au départ)</w:t>
      </w:r>
    </w:p>
    <w:p w14:paraId="00000070" w14:textId="77777777" w:rsidR="00A36256" w:rsidRDefault="00D63168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Durée moyenne</w:t>
      </w:r>
      <w:r>
        <w:rPr>
          <w:sz w:val="20"/>
          <w:szCs w:val="20"/>
        </w:rPr>
        <w:t xml:space="preserve"> des essais cliniques au total : 5,7 ans</w:t>
      </w:r>
    </w:p>
    <w:p w14:paraId="00000071" w14:textId="77777777" w:rsidR="00A36256" w:rsidRDefault="00A36256">
      <w:pPr>
        <w:ind w:left="720"/>
        <w:rPr>
          <w:sz w:val="20"/>
          <w:szCs w:val="20"/>
        </w:rPr>
      </w:pPr>
    </w:p>
    <w:p w14:paraId="00000072" w14:textId="4E2FEFD0" w:rsidR="00A36256" w:rsidRDefault="00D63168" w:rsidP="003D2F6D">
      <w:pPr>
        <w:pStyle w:val="Titre1"/>
      </w:pPr>
      <w:r>
        <w:t xml:space="preserve">   </w:t>
      </w:r>
      <w:r>
        <w:t>CONSTITUTION DU DOSSIER DE DEMANDE D’AMM OU D’ENREGISTREMENT</w:t>
      </w:r>
    </w:p>
    <w:p w14:paraId="00000073" w14:textId="77777777" w:rsidR="00A36256" w:rsidRDefault="00D63168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Préparation du dossier de demande d’autorisation de mise sur le marché (AMM) à présenter au Ministère chargé de la Santé Publique</w:t>
      </w:r>
    </w:p>
    <w:p w14:paraId="00000074" w14:textId="77777777" w:rsidR="00A36256" w:rsidRDefault="00D63168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Durée moyenn</w:t>
      </w:r>
      <w:r>
        <w:rPr>
          <w:sz w:val="20"/>
          <w:szCs w:val="20"/>
        </w:rPr>
        <w:t xml:space="preserve">e : 1,3 ans </w:t>
      </w:r>
    </w:p>
    <w:p w14:paraId="00000075" w14:textId="77777777" w:rsidR="00A36256" w:rsidRDefault="00D63168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Contenu du dossier :</w:t>
      </w:r>
    </w:p>
    <w:p w14:paraId="00000076" w14:textId="77777777" w:rsidR="00A36256" w:rsidRDefault="00D63168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Données de la : phase préclinique, essais cliniques (phases I, II et III)</w:t>
      </w:r>
    </w:p>
    <w:p w14:paraId="00000077" w14:textId="77777777" w:rsidR="00A36256" w:rsidRDefault="00D63168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Indications thérapeutiques</w:t>
      </w:r>
    </w:p>
    <w:p w14:paraId="00000078" w14:textId="77777777" w:rsidR="00A36256" w:rsidRDefault="00D63168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Modalités d’administration :</w:t>
      </w:r>
    </w:p>
    <w:p w14:paraId="00000079" w14:textId="77777777" w:rsidR="00A36256" w:rsidRDefault="00D63168">
      <w:pPr>
        <w:numPr>
          <w:ilvl w:val="2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Doses (posologie)</w:t>
      </w:r>
    </w:p>
    <w:p w14:paraId="0000007A" w14:textId="77777777" w:rsidR="00A36256" w:rsidRDefault="00D63168">
      <w:pPr>
        <w:numPr>
          <w:ilvl w:val="2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Rythme d’administration (périodicité)</w:t>
      </w:r>
    </w:p>
    <w:p w14:paraId="0000007B" w14:textId="77777777" w:rsidR="00A36256" w:rsidRDefault="00D63168">
      <w:pPr>
        <w:numPr>
          <w:ilvl w:val="2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Durée moyenne de traitement</w:t>
      </w:r>
    </w:p>
    <w:p w14:paraId="0000007C" w14:textId="77777777" w:rsidR="00A36256" w:rsidRDefault="00D63168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Précautions d’emploi</w:t>
      </w:r>
    </w:p>
    <w:p w14:paraId="0000007D" w14:textId="77777777" w:rsidR="00A36256" w:rsidRDefault="00D63168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Effets indésirables éventuels + fréquence moyenne respectives</w:t>
      </w:r>
    </w:p>
    <w:p w14:paraId="0000007E" w14:textId="77777777" w:rsidR="00A36256" w:rsidRDefault="00D63168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Contre-indications</w:t>
      </w:r>
    </w:p>
    <w:p w14:paraId="0000007F" w14:textId="77777777" w:rsidR="00A36256" w:rsidRDefault="00D63168">
      <w:pPr>
        <w:numPr>
          <w:ilvl w:val="1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... </w:t>
      </w:r>
    </w:p>
    <w:p w14:paraId="00000080" w14:textId="77777777" w:rsidR="00A36256" w:rsidRDefault="00D63168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Dossier complet à enregistrer auprès du Ministère chargé de la Santé pour son examen par la Commission d’Autorisation de </w:t>
      </w:r>
      <w:r>
        <w:rPr>
          <w:sz w:val="20"/>
          <w:szCs w:val="20"/>
        </w:rPr>
        <w:t>Mise sur le Marché</w:t>
      </w:r>
    </w:p>
    <w:p w14:paraId="00000081" w14:textId="77777777" w:rsidR="00A36256" w:rsidRDefault="00A36256">
      <w:pPr>
        <w:rPr>
          <w:sz w:val="20"/>
          <w:szCs w:val="20"/>
        </w:rPr>
      </w:pPr>
    </w:p>
    <w:p w14:paraId="00000082" w14:textId="563EC3D5" w:rsidR="00A36256" w:rsidRDefault="00D63168" w:rsidP="003D2F6D">
      <w:pPr>
        <w:pStyle w:val="Titre1"/>
      </w:pPr>
      <w:r>
        <w:t>EXAMEN DU DOSSIER ET DELIVRANCE DE L’AMM</w:t>
      </w:r>
    </w:p>
    <w:p w14:paraId="00000083" w14:textId="77777777" w:rsidR="00A36256" w:rsidRDefault="00D63168">
      <w:pPr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Dossier examiné par deux sous-commissions :</w:t>
      </w:r>
    </w:p>
    <w:p w14:paraId="00000084" w14:textId="77777777" w:rsidR="00A36256" w:rsidRDefault="00D63168">
      <w:pPr>
        <w:numPr>
          <w:ilvl w:val="1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Sous-commission de transparence</w:t>
      </w:r>
    </w:p>
    <w:p w14:paraId="00000085" w14:textId="77777777" w:rsidR="00A36256" w:rsidRDefault="00D63168">
      <w:pPr>
        <w:numPr>
          <w:ilvl w:val="1"/>
          <w:numId w:val="2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Sous-commision</w:t>
      </w:r>
      <w:proofErr w:type="spellEnd"/>
      <w:r>
        <w:rPr>
          <w:sz w:val="20"/>
          <w:szCs w:val="20"/>
        </w:rPr>
        <w:t xml:space="preserve"> de publicité </w:t>
      </w:r>
    </w:p>
    <w:p w14:paraId="00000086" w14:textId="77777777" w:rsidR="00A36256" w:rsidRDefault="00D63168">
      <w:pPr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  <w:u w:val="single"/>
        </w:rPr>
        <w:t>Sous-commission de la transparence :</w:t>
      </w:r>
    </w:p>
    <w:p w14:paraId="00000087" w14:textId="77777777" w:rsidR="00A36256" w:rsidRDefault="00D63168">
      <w:pPr>
        <w:numPr>
          <w:ilvl w:val="1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Appréciation du bénéfice rendu par le nouve</w:t>
      </w:r>
      <w:r>
        <w:rPr>
          <w:sz w:val="20"/>
          <w:szCs w:val="20"/>
        </w:rPr>
        <w:t>au médicament</w:t>
      </w:r>
    </w:p>
    <w:p w14:paraId="00000088" w14:textId="77777777" w:rsidR="00A36256" w:rsidRDefault="00D63168">
      <w:pPr>
        <w:numPr>
          <w:ilvl w:val="1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Définition du rapport bénéfice/risque : service médical rendu (SMR de 1 à 5)</w:t>
      </w:r>
    </w:p>
    <w:p w14:paraId="00000089" w14:textId="77777777" w:rsidR="00A36256" w:rsidRDefault="00D63168">
      <w:pPr>
        <w:numPr>
          <w:ilvl w:val="1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Fixation du taux de remboursement par la Sécurité Sociale ou la structure équivalente </w:t>
      </w:r>
    </w:p>
    <w:p w14:paraId="0000008A" w14:textId="77777777" w:rsidR="00A36256" w:rsidRDefault="00D63168">
      <w:pPr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  <w:u w:val="single"/>
        </w:rPr>
        <w:t>Sous-commission de la publicité :</w:t>
      </w:r>
    </w:p>
    <w:p w14:paraId="0000008B" w14:textId="77777777" w:rsidR="00A36256" w:rsidRDefault="00D63168">
      <w:pPr>
        <w:numPr>
          <w:ilvl w:val="1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Définition des modalités de communication et</w:t>
      </w:r>
      <w:r>
        <w:rPr>
          <w:sz w:val="20"/>
          <w:szCs w:val="20"/>
        </w:rPr>
        <w:t xml:space="preserve"> de publicité autour du produit si accepté comme médicament </w:t>
      </w:r>
      <w:r>
        <w:rPr>
          <w:i/>
          <w:sz w:val="20"/>
          <w:szCs w:val="20"/>
        </w:rPr>
        <w:t>(publicité grand public TV, radio, journaux ou par les délégués médicaux)</w:t>
      </w:r>
      <w:r>
        <w:rPr>
          <w:sz w:val="20"/>
          <w:szCs w:val="20"/>
        </w:rPr>
        <w:t xml:space="preserve"> </w:t>
      </w:r>
    </w:p>
    <w:p w14:paraId="0000008C" w14:textId="77777777" w:rsidR="00A36256" w:rsidRDefault="00D63168">
      <w:pPr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Si acceptation, la commission d’AMM va proposer au ministre chargé de la santé l’AMM du produit devenant médicament</w:t>
      </w:r>
    </w:p>
    <w:p w14:paraId="0000008D" w14:textId="77777777" w:rsidR="00A36256" w:rsidRDefault="00D63168">
      <w:pPr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Signature de l’AMM par le ministre chargé de la Santé Publique</w:t>
      </w:r>
    </w:p>
    <w:p w14:paraId="0000008F" w14:textId="51A88B46" w:rsidR="00A36256" w:rsidRPr="003D2F6D" w:rsidRDefault="00D63168" w:rsidP="003D2F6D">
      <w:pPr>
        <w:numPr>
          <w:ilvl w:val="0"/>
          <w:numId w:val="22"/>
        </w:numPr>
        <w:rPr>
          <w:sz w:val="20"/>
          <w:szCs w:val="20"/>
        </w:rPr>
      </w:pPr>
      <w:r>
        <w:rPr>
          <w:b/>
          <w:sz w:val="20"/>
          <w:szCs w:val="20"/>
        </w:rPr>
        <w:t xml:space="preserve">1 médicament </w:t>
      </w:r>
      <w:r w:rsidR="003D2F6D">
        <w:rPr>
          <w:b/>
          <w:sz w:val="20"/>
          <w:szCs w:val="20"/>
        </w:rPr>
        <w:t>enregistré</w:t>
      </w:r>
      <w:r w:rsidR="003D2F6D">
        <w:rPr>
          <w:i/>
          <w:sz w:val="20"/>
          <w:szCs w:val="20"/>
        </w:rPr>
        <w:t xml:space="preserve"> (</w:t>
      </w:r>
      <w:r>
        <w:rPr>
          <w:i/>
          <w:sz w:val="20"/>
          <w:szCs w:val="20"/>
        </w:rPr>
        <w:t>depuis les 10.000 au départ)</w:t>
      </w:r>
    </w:p>
    <w:p w14:paraId="00000090" w14:textId="67FC4B27" w:rsidR="00A36256" w:rsidRDefault="00D63168" w:rsidP="003D2F6D">
      <w:pPr>
        <w:pStyle w:val="Titre1"/>
      </w:pPr>
      <w:r>
        <w:t>PHARMACOVIGILAN</w:t>
      </w:r>
      <w:r>
        <w:t>CE ET LANCEMENT</w:t>
      </w:r>
    </w:p>
    <w:p w14:paraId="00000091" w14:textId="77777777" w:rsidR="00A36256" w:rsidRDefault="00D63168" w:rsidP="003D2F6D">
      <w:pPr>
        <w:pStyle w:val="Titre2"/>
      </w:pPr>
      <w:r>
        <w:t>Pharmacovigilance ou phase IV (du développement du médicament)</w:t>
      </w:r>
    </w:p>
    <w:p w14:paraId="00000092" w14:textId="77777777" w:rsidR="00A36256" w:rsidRDefault="00D63168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Début : généralement avec la commercialisation du médicament après l’AMM</w:t>
      </w:r>
    </w:p>
    <w:p w14:paraId="00000093" w14:textId="77777777" w:rsidR="00A36256" w:rsidRDefault="00D63168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Réalisation dans les conditions habituelles d’emploi du médicament sur le marché du médicament</w:t>
      </w:r>
    </w:p>
    <w:p w14:paraId="00000094" w14:textId="77777777" w:rsidR="00A36256" w:rsidRDefault="00D63168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Objectifs :</w:t>
      </w:r>
    </w:p>
    <w:p w14:paraId="00000095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Préciser au mieux les modalités et les conditions d’utilisation </w:t>
      </w:r>
      <w:r>
        <w:rPr>
          <w:i/>
          <w:sz w:val="20"/>
          <w:szCs w:val="20"/>
        </w:rPr>
        <w:t>(par exemple dans les groupes de patients à risque)</w:t>
      </w:r>
      <w:r>
        <w:rPr>
          <w:sz w:val="20"/>
          <w:szCs w:val="20"/>
        </w:rPr>
        <w:t xml:space="preserve"> du produit</w:t>
      </w:r>
    </w:p>
    <w:p w14:paraId="00000096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“Situer” le produit au</w:t>
      </w:r>
      <w:r>
        <w:rPr>
          <w:sz w:val="20"/>
          <w:szCs w:val="20"/>
        </w:rPr>
        <w:t xml:space="preserve"> sein de l’arsenal thérapeutique parmi les produits d’action comparable</w:t>
      </w:r>
    </w:p>
    <w:p w14:paraId="00000097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Identifier les effets indésirables rares - exceptionnels ou tardifs </w:t>
      </w:r>
    </w:p>
    <w:p w14:paraId="00000098" w14:textId="77777777" w:rsidR="00A36256" w:rsidRDefault="00D63168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Activités :</w:t>
      </w:r>
    </w:p>
    <w:p w14:paraId="00000099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Recueillir le plus d’informations possibles sur la tolérance du produit, dès lors qu’il est largement p</w:t>
      </w:r>
      <w:r>
        <w:rPr>
          <w:sz w:val="20"/>
          <w:szCs w:val="20"/>
        </w:rPr>
        <w:t>rescrit dans les conditions habituelles</w:t>
      </w:r>
    </w:p>
    <w:p w14:paraId="0000009A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Proposer des précautions et des limitations d’emploi</w:t>
      </w:r>
    </w:p>
    <w:p w14:paraId="0000009B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Voire éventuellement le retrait du marché s’il est clair que le bilan du médicament n’est pas, en définitive, globalement favorable aux malades </w:t>
      </w:r>
      <w:r>
        <w:rPr>
          <w:i/>
          <w:sz w:val="20"/>
          <w:szCs w:val="20"/>
        </w:rPr>
        <w:t>(service rendu mini</w:t>
      </w:r>
      <w:r>
        <w:rPr>
          <w:i/>
          <w:sz w:val="20"/>
          <w:szCs w:val="20"/>
        </w:rPr>
        <w:t>me par rapport aux médicaments déjà disponibles)</w:t>
      </w:r>
      <w:r>
        <w:rPr>
          <w:sz w:val="20"/>
          <w:szCs w:val="20"/>
        </w:rPr>
        <w:t xml:space="preserve"> </w:t>
      </w:r>
    </w:p>
    <w:p w14:paraId="0000009C" w14:textId="77777777" w:rsidR="00A36256" w:rsidRDefault="00D63168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Contribution :</w:t>
      </w:r>
    </w:p>
    <w:p w14:paraId="0000009D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Médecins</w:t>
      </w:r>
    </w:p>
    <w:p w14:paraId="0000009E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Malades </w:t>
      </w:r>
    </w:p>
    <w:p w14:paraId="0000009F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Entourage du malade</w:t>
      </w:r>
    </w:p>
    <w:p w14:paraId="000000A0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Formations sanitaires</w:t>
      </w:r>
    </w:p>
    <w:p w14:paraId="000000A1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Service de Santé de District</w:t>
      </w:r>
    </w:p>
    <w:p w14:paraId="000000A2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Direction Régionale de Santé</w:t>
      </w:r>
    </w:p>
    <w:p w14:paraId="000000A3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Ministère Chargé de la Santé Publique</w:t>
      </w:r>
    </w:p>
    <w:p w14:paraId="000000A4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Institutions internationales (OMS)</w:t>
      </w:r>
    </w:p>
    <w:p w14:paraId="000000A5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Firmes pharmaceutiques ayant développé les nouveaux médicaments</w:t>
      </w:r>
    </w:p>
    <w:p w14:paraId="000000A6" w14:textId="77777777" w:rsidR="00A36256" w:rsidRDefault="00D63168">
      <w:pPr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...</w:t>
      </w:r>
    </w:p>
    <w:p w14:paraId="000000A7" w14:textId="77777777" w:rsidR="00A36256" w:rsidRDefault="00D63168" w:rsidP="003D2F6D">
      <w:pPr>
        <w:pStyle w:val="Titre2"/>
      </w:pPr>
      <w:r>
        <w:t>Lancement</w:t>
      </w:r>
    </w:p>
    <w:p w14:paraId="000000A8" w14:textId="77777777" w:rsidR="00A36256" w:rsidRDefault="00D63168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Début : examen du dossier et délivrance de l’AMM</w:t>
      </w:r>
    </w:p>
    <w:p w14:paraId="000000A9" w14:textId="77777777" w:rsidR="00A36256" w:rsidRDefault="00D63168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Durée : 7 à 9 ans</w:t>
      </w:r>
    </w:p>
    <w:p w14:paraId="000000AA" w14:textId="77777777" w:rsidR="00A36256" w:rsidRDefault="00D63168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Expiration du brevet : fin de la 9ème année (possibilité de renouveler le brevet, peut être prolongé </w:t>
      </w:r>
      <w:proofErr w:type="gramStart"/>
      <w:r>
        <w:rPr>
          <w:sz w:val="20"/>
          <w:szCs w:val="20"/>
        </w:rPr>
        <w:t>à  10</w:t>
      </w:r>
      <w:proofErr w:type="gramEnd"/>
      <w:r>
        <w:rPr>
          <w:sz w:val="20"/>
          <w:szCs w:val="20"/>
        </w:rPr>
        <w:t>ans p</w:t>
      </w:r>
      <w:r>
        <w:rPr>
          <w:sz w:val="20"/>
          <w:szCs w:val="20"/>
        </w:rPr>
        <w:t>lus )</w:t>
      </w:r>
    </w:p>
    <w:p w14:paraId="000000AB" w14:textId="77777777" w:rsidR="00A36256" w:rsidRDefault="00A36256">
      <w:pPr>
        <w:rPr>
          <w:sz w:val="20"/>
          <w:szCs w:val="20"/>
        </w:rPr>
      </w:pPr>
      <w:bookmarkStart w:id="0" w:name="_rrcsdku4ncqh" w:colFirst="0" w:colLast="0"/>
      <w:bookmarkEnd w:id="0"/>
    </w:p>
    <w:p w14:paraId="000000AC" w14:textId="77777777" w:rsidR="00A36256" w:rsidRDefault="00D63168" w:rsidP="003D2F6D">
      <w:pPr>
        <w:pStyle w:val="Titre1"/>
      </w:pPr>
      <w:r>
        <w:t>CONCLUSION</w:t>
      </w:r>
    </w:p>
    <w:p w14:paraId="000000AD" w14:textId="77777777" w:rsidR="00A36256" w:rsidRDefault="00D63168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Chemin de produit au médicament, un chemin :</w:t>
      </w:r>
    </w:p>
    <w:p w14:paraId="000000AE" w14:textId="77777777" w:rsidR="00A36256" w:rsidRDefault="00D63168">
      <w:pPr>
        <w:numPr>
          <w:ilvl w:val="1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Difficile (plusieurs contraintes : économique, technologique, commercial, scientifique, </w:t>
      </w:r>
      <w:proofErr w:type="gramStart"/>
      <w:r>
        <w:rPr>
          <w:sz w:val="20"/>
          <w:szCs w:val="20"/>
        </w:rPr>
        <w:t>réglementaire, ....</w:t>
      </w:r>
      <w:proofErr w:type="gramEnd"/>
      <w:r>
        <w:rPr>
          <w:sz w:val="20"/>
          <w:szCs w:val="20"/>
        </w:rPr>
        <w:t>)</w:t>
      </w:r>
    </w:p>
    <w:p w14:paraId="000000AF" w14:textId="77777777" w:rsidR="00A36256" w:rsidRDefault="00D63168">
      <w:pPr>
        <w:numPr>
          <w:ilvl w:val="1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Long (10 à 15 ans)</w:t>
      </w:r>
    </w:p>
    <w:p w14:paraId="000000B0" w14:textId="77777777" w:rsidR="00A36256" w:rsidRDefault="00D63168">
      <w:pPr>
        <w:numPr>
          <w:ilvl w:val="1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Couteux (plus de 800 millions d’euros)</w:t>
      </w:r>
    </w:p>
    <w:p w14:paraId="000000B1" w14:textId="77777777" w:rsidR="00A36256" w:rsidRDefault="00D63168">
      <w:pPr>
        <w:numPr>
          <w:ilvl w:val="1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Aléatoire : nombreux principes actifs n’arrivant jamais au stade de médicaments </w:t>
      </w:r>
    </w:p>
    <w:p w14:paraId="000000B2" w14:textId="77777777" w:rsidR="00A36256" w:rsidRDefault="00D63168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Tout produit avant l’examen du dossier et délivrance de l’AMM doivent subir différents stades :</w:t>
      </w:r>
    </w:p>
    <w:p w14:paraId="000000B3" w14:textId="77777777" w:rsidR="00A36256" w:rsidRDefault="00D63168">
      <w:pPr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Pharmacologie expérimentale</w:t>
      </w:r>
    </w:p>
    <w:p w14:paraId="000000B4" w14:textId="77777777" w:rsidR="00A36256" w:rsidRDefault="00D63168">
      <w:pPr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Essais cliniques chez l’homme</w:t>
      </w:r>
    </w:p>
    <w:p w14:paraId="000000B5" w14:textId="77777777" w:rsidR="00A36256" w:rsidRDefault="00D63168">
      <w:pPr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Constitution du dossier de demande d’AMM </w:t>
      </w:r>
    </w:p>
    <w:p w14:paraId="000000B6" w14:textId="77777777" w:rsidR="00A36256" w:rsidRDefault="00D63168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Dossier d’AMM après approbation par la commission d’AMM :</w:t>
      </w:r>
    </w:p>
    <w:p w14:paraId="000000B7" w14:textId="77777777" w:rsidR="00A36256" w:rsidRDefault="00D63168">
      <w:pPr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Pr</w:t>
      </w:r>
      <w:r>
        <w:rPr>
          <w:sz w:val="20"/>
          <w:szCs w:val="20"/>
        </w:rPr>
        <w:t>oposition d’autorisation au ministère chargé de la santé</w:t>
      </w:r>
    </w:p>
    <w:p w14:paraId="000000B8" w14:textId="77777777" w:rsidR="00A36256" w:rsidRDefault="00D63168">
      <w:pPr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Sortie de l’AMM </w:t>
      </w:r>
    </w:p>
    <w:p w14:paraId="000000B9" w14:textId="77777777" w:rsidR="00A36256" w:rsidRDefault="00D63168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Pharmacovigilance et lancement</w:t>
      </w:r>
    </w:p>
    <w:p w14:paraId="000000BA" w14:textId="77777777" w:rsidR="00A36256" w:rsidRDefault="00D63168">
      <w:pPr>
        <w:numPr>
          <w:ilvl w:val="0"/>
          <w:numId w:val="1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Ré-évaluation</w:t>
      </w:r>
      <w:proofErr w:type="spellEnd"/>
      <w:r>
        <w:rPr>
          <w:sz w:val="20"/>
          <w:szCs w:val="20"/>
        </w:rPr>
        <w:t xml:space="preserve"> tous les 5 ans (continuation de la vente ou suspension de l’AMM)</w:t>
      </w:r>
    </w:p>
    <w:sectPr w:rsidR="00A36256">
      <w:headerReference w:type="default" r:id="rId7"/>
      <w:footerReference w:type="default" r:id="rId8"/>
      <w:pgSz w:w="12240" w:h="15840"/>
      <w:pgMar w:top="567" w:right="851" w:bottom="567" w:left="851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2E57E" w14:textId="77777777" w:rsidR="00D63168" w:rsidRDefault="00D63168">
      <w:pPr>
        <w:spacing w:line="240" w:lineRule="auto"/>
      </w:pPr>
      <w:r>
        <w:separator/>
      </w:r>
    </w:p>
  </w:endnote>
  <w:endnote w:type="continuationSeparator" w:id="0">
    <w:p w14:paraId="717F3D2B" w14:textId="77777777" w:rsidR="00D63168" w:rsidRDefault="00D63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BD" w14:textId="192F1774" w:rsidR="00A36256" w:rsidRDefault="00D63168">
    <w:pPr>
      <w:jc w:val="right"/>
    </w:pPr>
    <w:r>
      <w:fldChar w:fldCharType="begin"/>
    </w:r>
    <w:r>
      <w:instrText>PAGE</w:instrText>
    </w:r>
    <w:r>
      <w:fldChar w:fldCharType="separate"/>
    </w:r>
    <w:r w:rsidR="003D2F6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4DDA2" w14:textId="77777777" w:rsidR="00D63168" w:rsidRDefault="00D63168">
      <w:pPr>
        <w:spacing w:line="240" w:lineRule="auto"/>
      </w:pPr>
      <w:r>
        <w:separator/>
      </w:r>
    </w:p>
  </w:footnote>
  <w:footnote w:type="continuationSeparator" w:id="0">
    <w:p w14:paraId="3B62C354" w14:textId="77777777" w:rsidR="00D63168" w:rsidRDefault="00D631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BB" w14:textId="77777777" w:rsidR="00A36256" w:rsidRDefault="00D63168">
    <w:pPr>
      <w:rPr>
        <w:i/>
        <w:sz w:val="16"/>
        <w:szCs w:val="16"/>
      </w:rPr>
    </w:pPr>
    <w:r>
      <w:rPr>
        <w:i/>
        <w:sz w:val="16"/>
        <w:szCs w:val="16"/>
      </w:rPr>
      <w:t xml:space="preserve">PHARMACOLOGIE </w:t>
    </w:r>
  </w:p>
  <w:p w14:paraId="000000BC" w14:textId="77777777" w:rsidR="00A36256" w:rsidRDefault="00D63168">
    <w:pPr>
      <w:rPr>
        <w:i/>
        <w:sz w:val="16"/>
        <w:szCs w:val="16"/>
      </w:rPr>
    </w:pPr>
    <w:r>
      <w:rPr>
        <w:i/>
        <w:sz w:val="16"/>
        <w:szCs w:val="16"/>
      </w:rPr>
      <w:t>22 AVRIL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610F5"/>
    <w:multiLevelType w:val="multilevel"/>
    <w:tmpl w:val="7DC45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BF000E"/>
    <w:multiLevelType w:val="multilevel"/>
    <w:tmpl w:val="6D4A3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C40C74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C2D2409"/>
    <w:multiLevelType w:val="multilevel"/>
    <w:tmpl w:val="4838F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F511D1"/>
    <w:multiLevelType w:val="multilevel"/>
    <w:tmpl w:val="4E103AC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3B574B"/>
    <w:multiLevelType w:val="multilevel"/>
    <w:tmpl w:val="5BC4F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56111B"/>
    <w:multiLevelType w:val="multilevel"/>
    <w:tmpl w:val="C5249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26310B"/>
    <w:multiLevelType w:val="multilevel"/>
    <w:tmpl w:val="7FD22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7C64AD"/>
    <w:multiLevelType w:val="multilevel"/>
    <w:tmpl w:val="2048C4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44274F8"/>
    <w:multiLevelType w:val="multilevel"/>
    <w:tmpl w:val="20C6D6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5C21844"/>
    <w:multiLevelType w:val="multilevel"/>
    <w:tmpl w:val="391C4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512A07"/>
    <w:multiLevelType w:val="multilevel"/>
    <w:tmpl w:val="1FAC5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917CF6"/>
    <w:multiLevelType w:val="multilevel"/>
    <w:tmpl w:val="919ED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B840639"/>
    <w:multiLevelType w:val="multilevel"/>
    <w:tmpl w:val="EF985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CB82950"/>
    <w:multiLevelType w:val="multilevel"/>
    <w:tmpl w:val="2876A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87D23C8"/>
    <w:multiLevelType w:val="multilevel"/>
    <w:tmpl w:val="B6988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B303BCC"/>
    <w:multiLevelType w:val="multilevel"/>
    <w:tmpl w:val="9D36D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A50392"/>
    <w:multiLevelType w:val="multilevel"/>
    <w:tmpl w:val="2B3C0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2C62F31"/>
    <w:multiLevelType w:val="multilevel"/>
    <w:tmpl w:val="3FE0F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504F98"/>
    <w:multiLevelType w:val="multilevel"/>
    <w:tmpl w:val="79A88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CAF7BBE"/>
    <w:multiLevelType w:val="multilevel"/>
    <w:tmpl w:val="05AE2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CE87C4E"/>
    <w:multiLevelType w:val="multilevel"/>
    <w:tmpl w:val="FF2E4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149791D"/>
    <w:multiLevelType w:val="multilevel"/>
    <w:tmpl w:val="64324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CB02A1"/>
    <w:multiLevelType w:val="multilevel"/>
    <w:tmpl w:val="1BDAE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9C3244B"/>
    <w:multiLevelType w:val="multilevel"/>
    <w:tmpl w:val="12D49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BA7377C"/>
    <w:multiLevelType w:val="multilevel"/>
    <w:tmpl w:val="8B6E7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E7312C2"/>
    <w:multiLevelType w:val="multilevel"/>
    <w:tmpl w:val="7C0EA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E8E0E1A"/>
    <w:multiLevelType w:val="multilevel"/>
    <w:tmpl w:val="3DE4B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5"/>
  </w:num>
  <w:num w:numId="2">
    <w:abstractNumId w:val="24"/>
  </w:num>
  <w:num w:numId="3">
    <w:abstractNumId w:val="17"/>
  </w:num>
  <w:num w:numId="4">
    <w:abstractNumId w:val="22"/>
  </w:num>
  <w:num w:numId="5">
    <w:abstractNumId w:val="6"/>
  </w:num>
  <w:num w:numId="6">
    <w:abstractNumId w:val="0"/>
  </w:num>
  <w:num w:numId="7">
    <w:abstractNumId w:val="4"/>
  </w:num>
  <w:num w:numId="8">
    <w:abstractNumId w:val="20"/>
  </w:num>
  <w:num w:numId="9">
    <w:abstractNumId w:val="7"/>
  </w:num>
  <w:num w:numId="10">
    <w:abstractNumId w:val="10"/>
  </w:num>
  <w:num w:numId="11">
    <w:abstractNumId w:val="21"/>
  </w:num>
  <w:num w:numId="12">
    <w:abstractNumId w:val="16"/>
  </w:num>
  <w:num w:numId="13">
    <w:abstractNumId w:val="8"/>
  </w:num>
  <w:num w:numId="14">
    <w:abstractNumId w:val="15"/>
  </w:num>
  <w:num w:numId="15">
    <w:abstractNumId w:val="1"/>
  </w:num>
  <w:num w:numId="16">
    <w:abstractNumId w:val="13"/>
  </w:num>
  <w:num w:numId="17">
    <w:abstractNumId w:val="27"/>
  </w:num>
  <w:num w:numId="18">
    <w:abstractNumId w:val="5"/>
  </w:num>
  <w:num w:numId="19">
    <w:abstractNumId w:val="9"/>
  </w:num>
  <w:num w:numId="20">
    <w:abstractNumId w:val="12"/>
  </w:num>
  <w:num w:numId="21">
    <w:abstractNumId w:val="11"/>
  </w:num>
  <w:num w:numId="22">
    <w:abstractNumId w:val="18"/>
  </w:num>
  <w:num w:numId="23">
    <w:abstractNumId w:val="14"/>
  </w:num>
  <w:num w:numId="24">
    <w:abstractNumId w:val="26"/>
  </w:num>
  <w:num w:numId="25">
    <w:abstractNumId w:val="3"/>
  </w:num>
  <w:num w:numId="26">
    <w:abstractNumId w:val="23"/>
  </w:num>
  <w:num w:numId="27">
    <w:abstractNumId w:val="19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256"/>
    <w:rsid w:val="003D2F6D"/>
    <w:rsid w:val="00A36256"/>
    <w:rsid w:val="00D6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F9551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28"/>
      </w:numPr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28"/>
      </w:numPr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28"/>
      </w:numPr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28"/>
      </w:numPr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8"/>
      </w:numPr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8"/>
      </w:numPr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2F6D"/>
    <w:pPr>
      <w:keepNext/>
      <w:keepLines/>
      <w:numPr>
        <w:ilvl w:val="6"/>
        <w:numId w:val="2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2F6D"/>
    <w:pPr>
      <w:keepNext/>
      <w:keepLines/>
      <w:numPr>
        <w:ilvl w:val="7"/>
        <w:numId w:val="2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2F6D"/>
    <w:pPr>
      <w:keepNext/>
      <w:keepLines/>
      <w:numPr>
        <w:ilvl w:val="8"/>
        <w:numId w:val="2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re7Car">
    <w:name w:val="Titre 7 Car"/>
    <w:basedOn w:val="Policepardfaut"/>
    <w:link w:val="Titre7"/>
    <w:uiPriority w:val="9"/>
    <w:semiHidden/>
    <w:rsid w:val="003D2F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3D2F6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3D2F6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1609</Words>
  <Characters>9175</Characters>
  <Application>Microsoft Office Word</Application>
  <DocSecurity>0</DocSecurity>
  <Lines>76</Lines>
  <Paragraphs>21</Paragraphs>
  <ScaleCrop>false</ScaleCrop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2</cp:revision>
  <dcterms:created xsi:type="dcterms:W3CDTF">2026-07-18T10:04:00Z</dcterms:created>
  <dcterms:modified xsi:type="dcterms:W3CDTF">2026-07-18T10:07:00Z</dcterms:modified>
</cp:coreProperties>
</file>