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FFF9" w14:textId="77777777" w:rsidR="00CA01E4" w:rsidRPr="00872EA0" w:rsidRDefault="0066317F" w:rsidP="00872EA0">
      <w:pPr>
        <w:pStyle w:val="Titre"/>
      </w:pPr>
      <w:r>
        <w:t xml:space="preserve">Lutte contre la tuberculose </w:t>
      </w:r>
    </w:p>
    <w:p w14:paraId="6D05C2F4" w14:textId="77777777" w:rsidR="00872EA0" w:rsidRPr="0066317F" w:rsidRDefault="0066317F" w:rsidP="0066317F">
      <w:pPr>
        <w:rPr>
          <w:color w:val="FF0000"/>
          <w:lang w:val="fr-FR"/>
        </w:rPr>
      </w:pPr>
      <w:r w:rsidRPr="0066317F">
        <w:rPr>
          <w:color w:val="FF0000"/>
          <w:lang w:val="fr-FR"/>
        </w:rPr>
        <w:t xml:space="preserve">Objectifs </w:t>
      </w:r>
    </w:p>
    <w:p w14:paraId="11150022" w14:textId="77777777"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 les différents cas de tuberculose selon l’OMS et le PNLT</w:t>
      </w:r>
    </w:p>
    <w:p w14:paraId="6DB2C4A2" w14:textId="77777777"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Schématiser le mode de transmission</w:t>
      </w:r>
    </w:p>
    <w:p w14:paraId="7E2E6219" w14:textId="77777777"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Formuler les stratégies de lutte</w:t>
      </w:r>
    </w:p>
    <w:p w14:paraId="547664F9" w14:textId="77777777"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 les stratégies « DOTS » et « Halte à la tuberculose »</w:t>
      </w:r>
    </w:p>
    <w:p w14:paraId="5D0C8317" w14:textId="77777777" w:rsidR="0066317F" w:rsidRDefault="0066317F" w:rsidP="0066317F">
      <w:pPr>
        <w:pStyle w:val="Titre1"/>
        <w:rPr>
          <w:lang w:val="fr-FR"/>
        </w:rPr>
      </w:pPr>
      <w:r>
        <w:rPr>
          <w:lang w:val="fr-FR"/>
        </w:rPr>
        <w:t xml:space="preserve">Considération générale </w:t>
      </w:r>
    </w:p>
    <w:p w14:paraId="440DF301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La tuberculose est une maladie infectieuse et contagieuse</w:t>
      </w:r>
    </w:p>
    <w:p w14:paraId="66304B8C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Dans le monde (chaque année)</w:t>
      </w:r>
    </w:p>
    <w:p w14:paraId="65CF200F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8 millions de cas nouveaux</w:t>
      </w:r>
    </w:p>
    <w:p w14:paraId="560DD65C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1,7 millions de personnes décédés</w:t>
      </w:r>
    </w:p>
    <w:p w14:paraId="6BE56B60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Madagascar (2011)</w:t>
      </w:r>
    </w:p>
    <w:p w14:paraId="5B55278D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Estimation OMS : 248 cas / 100 000 habitants</w:t>
      </w:r>
    </w:p>
    <w:p w14:paraId="6CDB38CB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Taux déclaré : 133 cas / 100 000 habitants</w:t>
      </w:r>
    </w:p>
    <w:p w14:paraId="311EA527" w14:textId="77777777" w:rsidR="0066317F" w:rsidRDefault="0066317F" w:rsidP="0066317F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Taux de dépistage = 133 / 248 = 53,6%</w:t>
      </w:r>
    </w:p>
    <w:p w14:paraId="7FB2A819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Intérêts</w:t>
      </w:r>
    </w:p>
    <w:p w14:paraId="03E7CC9C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Association à l’infection par le VIH</w:t>
      </w:r>
    </w:p>
    <w:p w14:paraId="6EA12428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Résistance du bactérie aux médicaments antituberculeux</w:t>
      </w:r>
    </w:p>
    <w:p w14:paraId="36F5082B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L’objectif de la lutte contre la tuberculose</w:t>
      </w:r>
    </w:p>
    <w:p w14:paraId="71473A5A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Diminuer la morbidité, la mortalité et la transmission de l’infection</w:t>
      </w:r>
    </w:p>
    <w:p w14:paraId="54967BA4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Minimiser les cas d’abandon du traitement</w:t>
      </w:r>
    </w:p>
    <w:p w14:paraId="2C12209D" w14:textId="77777777" w:rsidR="0066317F" w:rsidRDefault="0066317F" w:rsidP="0066317F">
      <w:pPr>
        <w:pStyle w:val="Titre1"/>
        <w:rPr>
          <w:lang w:val="fr-FR"/>
        </w:rPr>
      </w:pPr>
      <w:r>
        <w:rPr>
          <w:lang w:val="fr-FR"/>
        </w:rPr>
        <w:t xml:space="preserve">Rappels </w:t>
      </w:r>
    </w:p>
    <w:p w14:paraId="4E79FF4D" w14:textId="77777777" w:rsidR="0066317F" w:rsidRDefault="0066317F" w:rsidP="0066317F">
      <w:pPr>
        <w:pStyle w:val="Titre2"/>
        <w:rPr>
          <w:lang w:val="fr-FR"/>
        </w:rPr>
      </w:pPr>
      <w:r>
        <w:rPr>
          <w:lang w:val="fr-FR"/>
        </w:rPr>
        <w:t>Agents étiologiques</w:t>
      </w:r>
    </w:p>
    <w:p w14:paraId="394405C3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Mycobacterium tuberculosis, ou bacille de Koch</w:t>
      </w:r>
    </w:p>
    <w:p w14:paraId="019DED0D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Rarement</w:t>
      </w:r>
    </w:p>
    <w:p w14:paraId="229BABB8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Mycobacterium bovis</w:t>
      </w:r>
    </w:p>
    <w:p w14:paraId="49177AD3" w14:textId="77777777"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Mycobacterium africanum</w:t>
      </w:r>
    </w:p>
    <w:p w14:paraId="24CFD2D9" w14:textId="77777777" w:rsidR="0066317F" w:rsidRDefault="0066317F" w:rsidP="0066317F">
      <w:pPr>
        <w:pStyle w:val="Titre2"/>
        <w:rPr>
          <w:lang w:val="fr-FR"/>
        </w:rPr>
      </w:pPr>
      <w:r>
        <w:rPr>
          <w:lang w:val="fr-FR"/>
        </w:rPr>
        <w:t>Mode de transmission</w:t>
      </w:r>
    </w:p>
    <w:p w14:paraId="53D89710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Voie aérienne : les gouttelettes infectieuses que produit la toux des malades tuberculeux bacillifères (10 – 15 personnes par an)</w:t>
      </w:r>
    </w:p>
    <w:p w14:paraId="37281E8C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Lait provenant de bétail (M. bovis)</w:t>
      </w:r>
    </w:p>
    <w:p w14:paraId="1928C39E" w14:textId="77777777"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Mode de transmission non compliqué, mais lutte </w:t>
      </w:r>
      <w:r w:rsidR="00C5254A">
        <w:rPr>
          <w:lang w:val="fr-FR"/>
        </w:rPr>
        <w:t>plus ou moins compliquée</w:t>
      </w:r>
    </w:p>
    <w:p w14:paraId="4BE5474F" w14:textId="77777777" w:rsidR="00C5254A" w:rsidRDefault="00C5254A" w:rsidP="00C5254A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Principe de lutte </w:t>
      </w:r>
    </w:p>
    <w:p w14:paraId="35ED8368" w14:textId="77777777" w:rsidR="00C5254A" w:rsidRDefault="00C5254A" w:rsidP="00C5254A">
      <w:pPr>
        <w:pStyle w:val="Titre2"/>
        <w:rPr>
          <w:lang w:val="fr-FR"/>
        </w:rPr>
      </w:pPr>
      <w:r>
        <w:rPr>
          <w:lang w:val="fr-FR"/>
        </w:rPr>
        <w:t>Prise en charge des cas</w:t>
      </w:r>
    </w:p>
    <w:p w14:paraId="73D70139" w14:textId="77777777" w:rsidR="00C5254A" w:rsidRDefault="00C5254A" w:rsidP="00C5254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Prise en charge </w:t>
      </w:r>
      <w:r>
        <w:rPr>
          <w:rFonts w:cs="Times New Roman"/>
          <w:lang w:val="fr-FR"/>
        </w:rPr>
        <w:t>←</w:t>
      </w:r>
      <w:r>
        <w:rPr>
          <w:lang w:val="fr-FR"/>
        </w:rPr>
        <w:t xml:space="preserve"> bonne connaissance du parcours d’un tuberculeux</w:t>
      </w:r>
    </w:p>
    <w:p w14:paraId="1A56DCBF" w14:textId="77777777" w:rsidR="00C5254A" w:rsidRDefault="00C5254A" w:rsidP="00C5254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Parcours d’un tuberculeux : modèle de Piot (8 étapes)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3549"/>
        <w:gridCol w:w="5516"/>
      </w:tblGrid>
      <w:tr w:rsidR="008E4E4B" w14:paraId="0D31A959" w14:textId="77777777" w:rsidTr="008E4E4B">
        <w:tc>
          <w:tcPr>
            <w:tcW w:w="562" w:type="dxa"/>
            <w:tcBorders>
              <w:top w:val="nil"/>
              <w:left w:val="nil"/>
            </w:tcBorders>
          </w:tcPr>
          <w:p w14:paraId="115F5ABD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1228C5DA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 xml:space="preserve">Etapes </w:t>
            </w:r>
          </w:p>
        </w:tc>
        <w:tc>
          <w:tcPr>
            <w:tcW w:w="5516" w:type="dxa"/>
            <w:tcBorders>
              <w:top w:val="nil"/>
              <w:right w:val="nil"/>
            </w:tcBorders>
          </w:tcPr>
          <w:p w14:paraId="413AF0B8" w14:textId="77777777" w:rsidR="008E4E4B" w:rsidRDefault="008E4E4B" w:rsidP="00C5254A">
            <w:pPr>
              <w:rPr>
                <w:lang w:val="fr-FR"/>
              </w:rPr>
            </w:pPr>
          </w:p>
        </w:tc>
      </w:tr>
      <w:tr w:rsidR="008E4E4B" w14:paraId="116DD002" w14:textId="77777777" w:rsidTr="008E4E4B">
        <w:tc>
          <w:tcPr>
            <w:tcW w:w="562" w:type="dxa"/>
            <w:vMerge w:val="restart"/>
            <w:textDirection w:val="btLr"/>
          </w:tcPr>
          <w:p w14:paraId="453A8164" w14:textId="77777777" w:rsidR="008E4E4B" w:rsidRDefault="008E4E4B" w:rsidP="008E4E4B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DEPISTAGE</w:t>
            </w:r>
          </w:p>
        </w:tc>
        <w:tc>
          <w:tcPr>
            <w:tcW w:w="3549" w:type="dxa"/>
          </w:tcPr>
          <w:p w14:paraId="7082ACCC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1 : Prise de conscience du malade</w:t>
            </w:r>
          </w:p>
        </w:tc>
        <w:tc>
          <w:tcPr>
            <w:tcW w:w="5516" w:type="dxa"/>
          </w:tcPr>
          <w:p w14:paraId="602BF549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IEC axée sur les signes d’appel de la tuberculose</w:t>
            </w:r>
          </w:p>
        </w:tc>
      </w:tr>
      <w:tr w:rsidR="008E4E4B" w14:paraId="3EA4FD60" w14:textId="77777777" w:rsidTr="008E4E4B">
        <w:tc>
          <w:tcPr>
            <w:tcW w:w="562" w:type="dxa"/>
            <w:vMerge/>
          </w:tcPr>
          <w:p w14:paraId="3CD19213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4EDDC954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2 : Motivation à consulter</w:t>
            </w:r>
          </w:p>
        </w:tc>
        <w:tc>
          <w:tcPr>
            <w:tcW w:w="5516" w:type="dxa"/>
          </w:tcPr>
          <w:p w14:paraId="2D8180F8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Rendre accessible les centres de consultations</w:t>
            </w:r>
          </w:p>
          <w:p w14:paraId="5C3D81AF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Tout personnel de santé doit connaitre les symptômes évocateurs de la tuberculose</w:t>
            </w:r>
          </w:p>
        </w:tc>
      </w:tr>
      <w:tr w:rsidR="008E4E4B" w14:paraId="3BC395F4" w14:textId="77777777" w:rsidTr="008E4E4B">
        <w:tc>
          <w:tcPr>
            <w:tcW w:w="562" w:type="dxa"/>
            <w:vMerge/>
          </w:tcPr>
          <w:p w14:paraId="5A992DCE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417F212F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3 : Exécution des examens</w:t>
            </w:r>
          </w:p>
        </w:tc>
        <w:tc>
          <w:tcPr>
            <w:tcW w:w="5516" w:type="dxa"/>
          </w:tcPr>
          <w:p w14:paraId="4528F0C0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Rendre accessible les centres de diagnostics (analyse des crachats gratuits)</w:t>
            </w:r>
          </w:p>
          <w:p w14:paraId="4EA8C613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Cibles : malades suspects (tousseurs chronique, …), entourage familiale du malade, PVVIH</w:t>
            </w:r>
          </w:p>
        </w:tc>
      </w:tr>
      <w:tr w:rsidR="008E4E4B" w14:paraId="2121AA61" w14:textId="77777777" w:rsidTr="008E4E4B">
        <w:tc>
          <w:tcPr>
            <w:tcW w:w="562" w:type="dxa"/>
            <w:vMerge/>
          </w:tcPr>
          <w:p w14:paraId="595C7D51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4C4077CC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4 : Sensibilité des examens</w:t>
            </w:r>
          </w:p>
        </w:tc>
        <w:tc>
          <w:tcPr>
            <w:tcW w:w="5516" w:type="dxa"/>
          </w:tcPr>
          <w:p w14:paraId="6040B21C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Capacité technique : OK</w:t>
            </w:r>
          </w:p>
          <w:p w14:paraId="2CFDD6AE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Matériels : OK</w:t>
            </w:r>
          </w:p>
        </w:tc>
      </w:tr>
      <w:tr w:rsidR="008E4E4B" w14:paraId="6D6F2429" w14:textId="77777777" w:rsidTr="008E4E4B">
        <w:tc>
          <w:tcPr>
            <w:tcW w:w="562" w:type="dxa"/>
            <w:vMerge w:val="restart"/>
            <w:textDirection w:val="btLr"/>
          </w:tcPr>
          <w:p w14:paraId="2392048F" w14:textId="77777777" w:rsidR="008E4E4B" w:rsidRDefault="008E4E4B" w:rsidP="008E4E4B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TRAITEMENT</w:t>
            </w:r>
          </w:p>
        </w:tc>
        <w:tc>
          <w:tcPr>
            <w:tcW w:w="3549" w:type="dxa"/>
          </w:tcPr>
          <w:p w14:paraId="33C5BA11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5 : Décision de mise en traitement</w:t>
            </w:r>
          </w:p>
        </w:tc>
        <w:tc>
          <w:tcPr>
            <w:tcW w:w="5516" w:type="dxa"/>
          </w:tcPr>
          <w:p w14:paraId="437FE907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Meilleure définition des cas</w:t>
            </w:r>
          </w:p>
          <w:p w14:paraId="1D1B9CFE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IEC axée sur l’efficacité du traitement</w:t>
            </w:r>
          </w:p>
          <w:p w14:paraId="476281E2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Disponibilité des médicaments</w:t>
            </w:r>
          </w:p>
          <w:p w14:paraId="291D8B20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Minimiser les abandons initiaux</w:t>
            </w:r>
          </w:p>
        </w:tc>
      </w:tr>
      <w:tr w:rsidR="008E4E4B" w14:paraId="64266B27" w14:textId="77777777" w:rsidTr="008E4E4B">
        <w:tc>
          <w:tcPr>
            <w:tcW w:w="562" w:type="dxa"/>
            <w:vMerge/>
          </w:tcPr>
          <w:p w14:paraId="5BCB3B6B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1EB361E6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6 : Efficacité du traitement</w:t>
            </w:r>
          </w:p>
        </w:tc>
        <w:tc>
          <w:tcPr>
            <w:tcW w:w="5516" w:type="dxa"/>
          </w:tcPr>
          <w:p w14:paraId="62BF68DA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Schéma thérapeutique correct</w:t>
            </w:r>
          </w:p>
        </w:tc>
      </w:tr>
      <w:tr w:rsidR="008E4E4B" w14:paraId="0B16F2BB" w14:textId="77777777" w:rsidTr="008E4E4B">
        <w:tc>
          <w:tcPr>
            <w:tcW w:w="562" w:type="dxa"/>
            <w:vMerge/>
          </w:tcPr>
          <w:p w14:paraId="30E9AFF4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100FF5FD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7 : Régularité du traitement</w:t>
            </w:r>
          </w:p>
        </w:tc>
        <w:tc>
          <w:tcPr>
            <w:tcW w:w="5516" w:type="dxa"/>
          </w:tcPr>
          <w:p w14:paraId="4F5CB64A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 xml:space="preserve">IEC axée sur la bonne observance thérapeutique </w:t>
            </w:r>
          </w:p>
          <w:p w14:paraId="32CA0462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Minimiser les abandons du traitement</w:t>
            </w:r>
          </w:p>
        </w:tc>
      </w:tr>
      <w:tr w:rsidR="008E4E4B" w14:paraId="38D96130" w14:textId="77777777" w:rsidTr="008E4E4B">
        <w:tc>
          <w:tcPr>
            <w:tcW w:w="562" w:type="dxa"/>
            <w:vMerge/>
          </w:tcPr>
          <w:p w14:paraId="0A6A9C38" w14:textId="77777777"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14:paraId="36F7D13C" w14:textId="77777777"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8 : Guérison</w:t>
            </w:r>
          </w:p>
        </w:tc>
        <w:tc>
          <w:tcPr>
            <w:tcW w:w="5516" w:type="dxa"/>
          </w:tcPr>
          <w:p w14:paraId="5C22A9CF" w14:textId="77777777"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Respect des critères de guérison</w:t>
            </w:r>
          </w:p>
        </w:tc>
      </w:tr>
    </w:tbl>
    <w:p w14:paraId="06723300" w14:textId="77777777" w:rsidR="006568FF" w:rsidRPr="008E4E4B" w:rsidRDefault="006568FF" w:rsidP="008E4E4B">
      <w:pPr>
        <w:rPr>
          <w:lang w:val="fr-FR"/>
        </w:rPr>
      </w:pPr>
    </w:p>
    <w:p w14:paraId="661B4231" w14:textId="77777777" w:rsidR="006568FF" w:rsidRDefault="006568FF" w:rsidP="006568FF">
      <w:pPr>
        <w:pStyle w:val="Titre2"/>
        <w:rPr>
          <w:lang w:val="fr-FR"/>
        </w:rPr>
      </w:pPr>
      <w:r>
        <w:rPr>
          <w:lang w:val="fr-FR"/>
        </w:rPr>
        <w:t>Définition des cas cliniques</w:t>
      </w:r>
    </w:p>
    <w:p w14:paraId="3EC73EAC" w14:textId="77777777"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pulmonaire à microscopie positive (TPM+)</w:t>
      </w:r>
    </w:p>
    <w:p w14:paraId="7CBC2366" w14:textId="77777777"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pulmonaire à microscopie négative (TPM-)</w:t>
      </w:r>
    </w:p>
    <w:p w14:paraId="58A6F4DE" w14:textId="77777777"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extra-pulmonaire (TEP). La tuberculose peut atteindre tous les différents organes (plèvre, péritoine, …)</w:t>
      </w:r>
    </w:p>
    <w:p w14:paraId="180CC962" w14:textId="77777777" w:rsidR="006568FF" w:rsidRDefault="006568FF" w:rsidP="006568FF">
      <w:pPr>
        <w:pStyle w:val="Paragraphedeliste"/>
        <w:rPr>
          <w:lang w:val="fr-FR"/>
        </w:rPr>
      </w:pPr>
    </w:p>
    <w:p w14:paraId="3D967B2F" w14:textId="77777777" w:rsidR="006568FF" w:rsidRDefault="006568FF" w:rsidP="006568FF">
      <w:pPr>
        <w:rPr>
          <w:lang w:val="fr-FR"/>
        </w:rPr>
      </w:pPr>
      <w:r w:rsidRPr="006568FF">
        <w:rPr>
          <w:color w:val="FF0000"/>
          <w:lang w:val="fr-FR"/>
        </w:rPr>
        <w:t>Définition des cas avant traitement </w:t>
      </w:r>
      <w:r>
        <w:rPr>
          <w:lang w:val="fr-FR"/>
        </w:rPr>
        <w:t>: 2 catégories</w:t>
      </w:r>
    </w:p>
    <w:p w14:paraId="510097F5" w14:textId="77777777"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Nouveau cas</w:t>
      </w:r>
      <w:r>
        <w:rPr>
          <w:lang w:val="fr-FR"/>
        </w:rPr>
        <w:t> : patient jamais traité pour la tuberculose</w:t>
      </w:r>
    </w:p>
    <w:p w14:paraId="1ED282B3" w14:textId="77777777"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Retraitement</w:t>
      </w:r>
      <w:r>
        <w:rPr>
          <w:lang w:val="fr-FR"/>
        </w:rPr>
        <w:t> : patient ayant déjà pris des médicament antituberculeux dans un centre de traitement mais : 3 groupes</w:t>
      </w:r>
    </w:p>
    <w:p w14:paraId="0CECC7B3" w14:textId="77777777"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Echec : patient sous traitement qui présente des frottis des crachats positifs après 5 mois ou plus de traitement</w:t>
      </w:r>
    </w:p>
    <w:p w14:paraId="72B5DA1E" w14:textId="77777777"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Rechute : patient déjà traité pour la tuberculose, déclaré « guéri » ou « traitement terminé » et revient avec une bacilloscopie positive</w:t>
      </w:r>
    </w:p>
    <w:p w14:paraId="457DA4AA" w14:textId="77777777"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Reprise : patient qui a interrompu son traitement pendant 2 mois ou plus et revient avec une « bacilloscopie positive »</w:t>
      </w:r>
    </w:p>
    <w:p w14:paraId="0022D9AA" w14:textId="77777777" w:rsidR="006437F0" w:rsidRDefault="006437F0" w:rsidP="006437F0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TEP et TPM - : en retraitement sont rares</w:t>
      </w:r>
    </w:p>
    <w:p w14:paraId="5405024F" w14:textId="77777777" w:rsidR="006437F0" w:rsidRDefault="006437F0" w:rsidP="006437F0">
      <w:pPr>
        <w:pStyle w:val="Titre2"/>
        <w:rPr>
          <w:lang w:val="fr-FR"/>
        </w:rPr>
      </w:pPr>
      <w:r>
        <w:rPr>
          <w:lang w:val="fr-FR"/>
        </w:rPr>
        <w:lastRenderedPageBreak/>
        <w:t xml:space="preserve">Prise en charge </w:t>
      </w:r>
    </w:p>
    <w:p w14:paraId="5F366957" w14:textId="77777777"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Point pratique</w:t>
      </w:r>
    </w:p>
    <w:p w14:paraId="45741243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Le traitement de la tuberculose est toujours basé sur une chimiothérapie associant plusieurs médicaments, afin d’éviter l’émergence des souches résistantes</w:t>
      </w:r>
    </w:p>
    <w:p w14:paraId="10ED5E26" w14:textId="77777777"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Régime thérapeutique</w:t>
      </w:r>
    </w:p>
    <w:p w14:paraId="7D41880E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Selon le Programme National de Lutte contre la Tuberculose à Madagascar</w:t>
      </w:r>
    </w:p>
    <w:p w14:paraId="560D8063" w14:textId="77777777"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Nouveau cas sujet 20 kg ou plus : 2[ERHZ] + 4[RH]</w:t>
      </w:r>
    </w:p>
    <w:p w14:paraId="5F03472E" w14:textId="77777777"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Nouveau cas sujet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20 kg : 2[RHZ] + 4[RH]</w:t>
      </w:r>
    </w:p>
    <w:p w14:paraId="1BCE9B29" w14:textId="77777777"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Retraitement : 2S[ERHZ] + 1[ERHZ] + 5[RH]</w:t>
      </w:r>
    </w:p>
    <w:p w14:paraId="60233980" w14:textId="77777777"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Médicament et posologie</w:t>
      </w:r>
    </w:p>
    <w:p w14:paraId="4261D9E3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Isoniazide (H) : 5 mg/kg</w:t>
      </w:r>
    </w:p>
    <w:p w14:paraId="3EF0B301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Rifampicine (R) : 10 mg/kg</w:t>
      </w:r>
    </w:p>
    <w:p w14:paraId="33100987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Streptomycine (S) : 15 mg/kg</w:t>
      </w:r>
    </w:p>
    <w:p w14:paraId="094A438F" w14:textId="77777777"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Ethambutol (E) : 20 mg/kg</w:t>
      </w:r>
    </w:p>
    <w:p w14:paraId="010E6B51" w14:textId="77777777" w:rsidR="006437F0" w:rsidRP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Pyrazinamide (Z) : 25 mg/kg</w:t>
      </w:r>
    </w:p>
    <w:p w14:paraId="2137B5E7" w14:textId="77777777" w:rsidR="006437F0" w:rsidRDefault="00D002C4" w:rsidP="00D002C4">
      <w:pPr>
        <w:pStyle w:val="Titre2"/>
        <w:rPr>
          <w:lang w:val="fr-FR"/>
        </w:rPr>
      </w:pPr>
      <w:r>
        <w:rPr>
          <w:lang w:val="fr-FR"/>
        </w:rPr>
        <w:t xml:space="preserve">Définition des cas au terme du traitement : 6 catégories </w:t>
      </w:r>
    </w:p>
    <w:p w14:paraId="714A3097" w14:textId="77777777" w:rsidR="00D002C4" w:rsidRDefault="008C7005" w:rsidP="00D002C4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Guéri </w:t>
      </w:r>
      <w:r>
        <w:rPr>
          <w:lang w:val="fr-FR"/>
        </w:rPr>
        <w:t>: 2 bacilloscopie négatives au moins, une au 5</w:t>
      </w:r>
      <w:r w:rsidRPr="008C7005">
        <w:rPr>
          <w:vertAlign w:val="superscript"/>
          <w:lang w:val="fr-FR"/>
        </w:rPr>
        <w:t>ème</w:t>
      </w:r>
      <w:r>
        <w:rPr>
          <w:lang w:val="fr-FR"/>
        </w:rPr>
        <w:t xml:space="preserve"> mois et une à la fin du 6</w:t>
      </w:r>
      <w:r w:rsidRPr="008C7005">
        <w:rPr>
          <w:vertAlign w:val="superscript"/>
          <w:lang w:val="fr-FR"/>
        </w:rPr>
        <w:t>ème</w:t>
      </w:r>
      <w:r>
        <w:rPr>
          <w:lang w:val="fr-FR"/>
        </w:rPr>
        <w:t xml:space="preserve"> mois</w:t>
      </w:r>
    </w:p>
    <w:p w14:paraId="4636F5BF" w14:textId="77777777" w:rsidR="008C7005" w:rsidRDefault="008C7005" w:rsidP="00D002C4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Traitement terminé</w:t>
      </w:r>
      <w:r>
        <w:rPr>
          <w:lang w:val="fr-FR"/>
        </w:rPr>
        <w:t> : patient qui a terminé son traitement mais sans bacilloscopie en fin du traitement. Concerne surtout les TPM</w:t>
      </w:r>
      <w:r w:rsidR="008D2EFE">
        <w:rPr>
          <w:lang w:val="fr-FR"/>
        </w:rPr>
        <w:t>- et TEP</w:t>
      </w:r>
    </w:p>
    <w:p w14:paraId="457E7D5F" w14:textId="77777777" w:rsidR="008D2EFE" w:rsidRDefault="008D2EFE" w:rsidP="008D2EF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1 + 2 = traitement réussi</w:t>
      </w:r>
    </w:p>
    <w:p w14:paraId="209C8F50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Echec</w:t>
      </w:r>
      <w:r>
        <w:rPr>
          <w:lang w:val="fr-FR"/>
        </w:rPr>
        <w:t> : patient frottis positif à la fin du 5</w:t>
      </w:r>
      <w:r w:rsidRPr="008D2EFE">
        <w:rPr>
          <w:vertAlign w:val="superscript"/>
          <w:lang w:val="fr-FR"/>
        </w:rPr>
        <w:t>ème</w:t>
      </w:r>
      <w:r>
        <w:rPr>
          <w:lang w:val="fr-FR"/>
        </w:rPr>
        <w:t xml:space="preserve"> mois ou plus tard au cours du traitement</w:t>
      </w:r>
    </w:p>
    <w:p w14:paraId="3132B5D2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Décédé </w:t>
      </w:r>
      <w:r>
        <w:rPr>
          <w:lang w:val="fr-FR"/>
        </w:rPr>
        <w:t>: patient qui meurt en cours de traitement quelle qu’en soit la cause</w:t>
      </w:r>
    </w:p>
    <w:p w14:paraId="01761741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Abandon</w:t>
      </w:r>
      <w:r>
        <w:rPr>
          <w:lang w:val="fr-FR"/>
        </w:rPr>
        <w:t> : patient dont le traitement a été interrompu pendant 2 mois consécutif ou plus</w:t>
      </w:r>
    </w:p>
    <w:p w14:paraId="2A66C38D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Transfert </w:t>
      </w:r>
      <w:r>
        <w:rPr>
          <w:lang w:val="fr-FR"/>
        </w:rPr>
        <w:t>: patient ayant déjà commencé son traitement : mais transféré avec son dossier dans un autre centre pour y être enregistré avec un nouveau numéro</w:t>
      </w:r>
    </w:p>
    <w:p w14:paraId="4368AEC6" w14:textId="77777777" w:rsidR="008D2EFE" w:rsidRDefault="008D2EFE" w:rsidP="008D2EFE">
      <w:pPr>
        <w:pStyle w:val="Titre2"/>
        <w:rPr>
          <w:lang w:val="fr-FR"/>
        </w:rPr>
      </w:pPr>
      <w:r>
        <w:rPr>
          <w:lang w:val="fr-FR"/>
        </w:rPr>
        <w:t>Cas particulier</w:t>
      </w:r>
    </w:p>
    <w:p w14:paraId="2205A9E7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Les malades référés : malades dépistés dans un autre </w:t>
      </w:r>
      <w:r w:rsidR="00531E52">
        <w:rPr>
          <w:lang w:val="fr-FR"/>
        </w:rPr>
        <w:t>centre mais</w:t>
      </w:r>
      <w:r>
        <w:rPr>
          <w:lang w:val="fr-FR"/>
        </w:rPr>
        <w:t xml:space="preserve"> qui préfère être traités dans un autre centre. Ils sont enregistrés dans le CDT où ils effectuent leur traitement</w:t>
      </w:r>
    </w:p>
    <w:p w14:paraId="4E53B51F" w14:textId="77777777" w:rsidR="008D2EFE" w:rsidRDefault="008D2EFE" w:rsidP="008D2EFE">
      <w:pPr>
        <w:pStyle w:val="Titre2"/>
        <w:rPr>
          <w:lang w:val="fr-FR"/>
        </w:rPr>
      </w:pPr>
      <w:r>
        <w:rPr>
          <w:lang w:val="fr-FR"/>
        </w:rPr>
        <w:t>Principaux indicateurs</w:t>
      </w:r>
    </w:p>
    <w:p w14:paraId="7C58348F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Incidence / prévalence</w:t>
      </w:r>
    </w:p>
    <w:p w14:paraId="5EE54B08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estimé</w:t>
      </w:r>
    </w:p>
    <w:p w14:paraId="1D7C6021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Taux déclaré </w:t>
      </w:r>
    </w:p>
    <w:p w14:paraId="47808CE2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de dépistage (déclaré / estimé)</w:t>
      </w:r>
    </w:p>
    <w:p w14:paraId="29A98B1A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de réussite au traitement (guéris + traitement terminé)</w:t>
      </w:r>
    </w:p>
    <w:p w14:paraId="684A257B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d’échec au traitement</w:t>
      </w:r>
    </w:p>
    <w:p w14:paraId="7F8CD2FF" w14:textId="77777777"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lastRenderedPageBreak/>
        <w:t>Taux de décès (létalité)</w:t>
      </w:r>
    </w:p>
    <w:p w14:paraId="58876F61" w14:textId="77777777" w:rsidR="006B264B" w:rsidRPr="006B264B" w:rsidRDefault="008D2EFE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d’abandon</w:t>
      </w:r>
    </w:p>
    <w:p w14:paraId="2F4C24EC" w14:textId="77777777" w:rsidR="00FC49E9" w:rsidRDefault="00FC49E9" w:rsidP="00845DB6">
      <w:pPr>
        <w:rPr>
          <w:lang w:val="fr-FR"/>
        </w:rPr>
      </w:pPr>
    </w:p>
    <w:p w14:paraId="23563483" w14:textId="77777777" w:rsidR="00FC49E9" w:rsidRDefault="00FC49E9" w:rsidP="00845DB6">
      <w:pPr>
        <w:rPr>
          <w:noProof/>
          <w:szCs w:val="28"/>
          <w:lang w:eastAsia="fr-FR"/>
        </w:rPr>
      </w:pPr>
    </w:p>
    <w:p w14:paraId="42823912" w14:textId="04A0884E" w:rsidR="00FC49E9" w:rsidRDefault="00FC49E9" w:rsidP="00845DB6">
      <w:pPr>
        <w:rPr>
          <w:lang w:val="fr-FR"/>
        </w:rPr>
      </w:pPr>
      <w:r w:rsidRPr="00CF6A2D">
        <w:rPr>
          <w:noProof/>
          <w:szCs w:val="28"/>
          <w:lang w:eastAsia="fr-FR"/>
        </w:rPr>
        <w:drawing>
          <wp:inline distT="0" distB="0" distL="0" distR="0" wp14:anchorId="5DF642AD" wp14:editId="5CF7BCE4">
            <wp:extent cx="5638800" cy="37909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CF2" w14:textId="1BB84478" w:rsidR="00FC49E9" w:rsidRDefault="00FC49E9" w:rsidP="00845DB6">
      <w:pPr>
        <w:rPr>
          <w:lang w:val="fr-FR"/>
        </w:rPr>
      </w:pPr>
      <w:r w:rsidRPr="00CF6A2D">
        <w:rPr>
          <w:noProof/>
          <w:szCs w:val="28"/>
          <w:lang w:eastAsia="fr-FR"/>
        </w:rPr>
        <w:drawing>
          <wp:inline distT="0" distB="0" distL="0" distR="0" wp14:anchorId="0727804C" wp14:editId="117188C7">
            <wp:extent cx="5760720" cy="363347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CFE6" w14:textId="77777777" w:rsidR="00EF59BE" w:rsidRDefault="003A6EB8" w:rsidP="003A6EB8">
      <w:pPr>
        <w:pStyle w:val="Titre2"/>
        <w:rPr>
          <w:lang w:val="fr-FR"/>
        </w:rPr>
      </w:pPr>
      <w:r>
        <w:rPr>
          <w:lang w:val="fr-FR"/>
        </w:rPr>
        <w:lastRenderedPageBreak/>
        <w:t xml:space="preserve">Approche pour minimiser les abandons </w:t>
      </w:r>
    </w:p>
    <w:p w14:paraId="0EC78C57" w14:textId="77777777" w:rsidR="003A6EB8" w:rsidRDefault="006B264B" w:rsidP="006B264B">
      <w:pPr>
        <w:pStyle w:val="Titre3"/>
        <w:rPr>
          <w:lang w:val="fr-FR"/>
        </w:rPr>
      </w:pPr>
      <w:r>
        <w:rPr>
          <w:lang w:val="fr-FR"/>
        </w:rPr>
        <w:t xml:space="preserve">CDT intégré dans les grands hôpitaux </w:t>
      </w:r>
    </w:p>
    <w:p w14:paraId="185F9AA8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surcharge de travail, fréquentés par les travailleurs et étudiants</w:t>
      </w:r>
    </w:p>
    <w:p w14:paraId="26BCE996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Objectif : offrir une prise en charge flexible dans le temps et des règles de distribution de médicaments plus adaptés au rythme des malades</w:t>
      </w:r>
    </w:p>
    <w:p w14:paraId="3859EF11" w14:textId="77777777" w:rsidR="006B264B" w:rsidRDefault="006B264B" w:rsidP="006B264B">
      <w:pPr>
        <w:pStyle w:val="Titre3"/>
        <w:rPr>
          <w:lang w:val="fr-FR"/>
        </w:rPr>
      </w:pPr>
      <w:r>
        <w:rPr>
          <w:lang w:val="fr-FR"/>
        </w:rPr>
        <w:t>CDT intégré dans les CSB publics</w:t>
      </w:r>
    </w:p>
    <w:p w14:paraId="6D353544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milieu rural, ressources limitées, population desservie habite loin du CDT</w:t>
      </w:r>
    </w:p>
    <w:p w14:paraId="2D496698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Objectif </w:t>
      </w:r>
    </w:p>
    <w:p w14:paraId="73F1967A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Constituer un relais entre le personnel soignant et les malades</w:t>
      </w:r>
    </w:p>
    <w:p w14:paraId="1626CE8B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Rendre les malades plus autonomes dans leurs prises de traitement</w:t>
      </w:r>
    </w:p>
    <w:p w14:paraId="69CE66A9" w14:textId="77777777" w:rsidR="006B264B" w:rsidRDefault="006B264B" w:rsidP="006B264B">
      <w:pPr>
        <w:pStyle w:val="Titre3"/>
        <w:rPr>
          <w:lang w:val="fr-FR"/>
        </w:rPr>
      </w:pPr>
      <w:r>
        <w:rPr>
          <w:lang w:val="fr-FR"/>
        </w:rPr>
        <w:t>CDT intégré dans les CSB privés</w:t>
      </w:r>
    </w:p>
    <w:p w14:paraId="2E455C21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milieu rural, population habite loin du CDT, présence de ressources propres</w:t>
      </w:r>
    </w:p>
    <w:p w14:paraId="35EC25B2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Objectifs </w:t>
      </w:r>
    </w:p>
    <w:p w14:paraId="3F6EF0FC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Créer un centre d’hébergement pour les malades et/ou système d’incitation</w:t>
      </w:r>
    </w:p>
    <w:p w14:paraId="1E1FCCCA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Constituer un relais entre le personnel soignant et les malades</w:t>
      </w:r>
    </w:p>
    <w:p w14:paraId="450021AC" w14:textId="77777777" w:rsidR="006B264B" w:rsidRDefault="006B264B" w:rsidP="006B264B">
      <w:pPr>
        <w:pStyle w:val="Titre2"/>
        <w:rPr>
          <w:lang w:val="fr-FR"/>
        </w:rPr>
      </w:pPr>
      <w:r>
        <w:rPr>
          <w:lang w:val="fr-FR"/>
        </w:rPr>
        <w:t>Mesures collectives</w:t>
      </w:r>
    </w:p>
    <w:p w14:paraId="3118977B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Amélioration du milieu</w:t>
      </w:r>
    </w:p>
    <w:p w14:paraId="177814EA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Renouvellement de l’air</w:t>
      </w:r>
    </w:p>
    <w:p w14:paraId="74C71691" w14:textId="77777777"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Lumière solaire et rayons UV tuent le BK</w:t>
      </w:r>
    </w:p>
    <w:p w14:paraId="14B9B669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Programme de vaccination : BCG</w:t>
      </w:r>
    </w:p>
    <w:p w14:paraId="339785D4" w14:textId="77777777"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IEC axée sur les signes d’appel</w:t>
      </w:r>
    </w:p>
    <w:p w14:paraId="56F5EBE2" w14:textId="77777777" w:rsidR="006B264B" w:rsidRDefault="0046389A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Amélioration de l’accessibilité des centres de dépistage et du traitement</w:t>
      </w:r>
    </w:p>
    <w:p w14:paraId="33671D16" w14:textId="77777777" w:rsidR="0046389A" w:rsidRDefault="0046389A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Mise en place d’un système de circuit des lames</w:t>
      </w:r>
    </w:p>
    <w:p w14:paraId="15D3A29F" w14:textId="77777777"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Mesures individuelles</w:t>
      </w:r>
    </w:p>
    <w:p w14:paraId="73126821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Vaccin BCG +++ (protection à 80%)</w:t>
      </w:r>
    </w:p>
    <w:p w14:paraId="2431A6F0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Consultation dès la moindre suspicion</w:t>
      </w:r>
    </w:p>
    <w:p w14:paraId="1FDDFCDD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Bonne alimentation</w:t>
      </w:r>
    </w:p>
    <w:p w14:paraId="223A5C31" w14:textId="77777777"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Surveillance</w:t>
      </w:r>
    </w:p>
    <w:p w14:paraId="33EF763B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Nombre de cas signalés à partir des rapports nationaux</w:t>
      </w:r>
    </w:p>
    <w:p w14:paraId="04977248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Mortalité </w:t>
      </w:r>
    </w:p>
    <w:p w14:paraId="4107D427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Résistance aux médicaments antituberculeux</w:t>
      </w:r>
    </w:p>
    <w:p w14:paraId="6462A525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Résultats de traitement pour des cohortes des malades, y compris abandon</w:t>
      </w:r>
    </w:p>
    <w:p w14:paraId="3766797F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Distribution des cas à frottis + selon l’âge et le sexe</w:t>
      </w:r>
    </w:p>
    <w:p w14:paraId="714FDD0B" w14:textId="77777777" w:rsidR="0046389A" w:rsidRDefault="0046389A" w:rsidP="0046389A">
      <w:pPr>
        <w:pStyle w:val="Titre1"/>
        <w:rPr>
          <w:lang w:val="fr-FR"/>
        </w:rPr>
      </w:pPr>
      <w:r>
        <w:rPr>
          <w:lang w:val="fr-FR"/>
        </w:rPr>
        <w:lastRenderedPageBreak/>
        <w:t>Stratégies internationales de lutte contre la tuberculose</w:t>
      </w:r>
    </w:p>
    <w:p w14:paraId="1FDFDC05" w14:textId="77777777"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Stratégie « DOTS »</w:t>
      </w:r>
    </w:p>
    <w:p w14:paraId="6A086A61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Définition</w:t>
      </w:r>
    </w:p>
    <w:p w14:paraId="5FE5FEC7" w14:textId="77777777" w:rsidR="0046389A" w:rsidRDefault="0046389A" w:rsidP="0046389A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Directly Observed Treatment Short</w:t>
      </w:r>
      <w:r w:rsidR="008E4E4B">
        <w:rPr>
          <w:lang w:val="fr-FR"/>
        </w:rPr>
        <w:t>-</w:t>
      </w:r>
      <w:r>
        <w:rPr>
          <w:lang w:val="fr-FR"/>
        </w:rPr>
        <w:t xml:space="preserve">course ou traitement directement observé de courte durée </w:t>
      </w:r>
    </w:p>
    <w:p w14:paraId="156BF595" w14:textId="77777777"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DOTS la stratégie la plus efficiente, constituée par 5 éléments</w:t>
      </w:r>
    </w:p>
    <w:p w14:paraId="69B90E12" w14:textId="77777777" w:rsidR="0046389A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L’engagement des autorités à mener des activités durables de lutte contre la tuberculose</w:t>
      </w:r>
    </w:p>
    <w:p w14:paraId="7B5DCA89" w14:textId="77777777"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Le dépistage par l’examen au microscope des frottis d’expectorations de malades symptomatiques</w:t>
      </w:r>
    </w:p>
    <w:p w14:paraId="582FEF97" w14:textId="77777777"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schéma thérapeutique standardisé avec traitement sous surveillance directe pendant les 2 premiers mois au moins</w:t>
      </w:r>
    </w:p>
    <w:p w14:paraId="42075D94" w14:textId="77777777"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approvisionnement régulier des médicaments antituberculeux essentiels</w:t>
      </w:r>
    </w:p>
    <w:p w14:paraId="2F9DDBEC" w14:textId="77777777"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système d’enregistrement et de notification standardisé</w:t>
      </w:r>
    </w:p>
    <w:p w14:paraId="560AA874" w14:textId="77777777" w:rsidR="00827716" w:rsidRDefault="00827716" w:rsidP="00827716">
      <w:pPr>
        <w:pStyle w:val="Titre2"/>
        <w:rPr>
          <w:lang w:val="fr-FR"/>
        </w:rPr>
      </w:pPr>
      <w:r>
        <w:rPr>
          <w:lang w:val="fr-FR"/>
        </w:rPr>
        <w:t>Stratégie Halte à la tuberculose</w:t>
      </w:r>
    </w:p>
    <w:p w14:paraId="71ED3B0F" w14:textId="77777777" w:rsidR="00827716" w:rsidRDefault="00827716" w:rsidP="00827716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Stratégie en 6 points qui vise à assurer à chaque patient atteint de tuberculose l’accès à un diagnostic et un traitement efficace</w:t>
      </w:r>
    </w:p>
    <w:p w14:paraId="34FFB53F" w14:textId="77777777"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Poursuivre l’extension et le renforcement de la stratégie DOTS de qualité</w:t>
      </w:r>
    </w:p>
    <w:p w14:paraId="50D90309" w14:textId="77777777"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S’atteler aux problèmes de la TB-MR et de la co-infection TB/VIH par le renforcement de la collaboration entre les activités TB et VIH</w:t>
      </w:r>
    </w:p>
    <w:p w14:paraId="30563F3F" w14:textId="77777777"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Contribuer au renforcement du système de santé : collaboration avec d’autres programmes sanitaires et autres services généraux</w:t>
      </w:r>
    </w:p>
    <w:p w14:paraId="77C51898" w14:textId="77777777"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Faire participer tous les dispensateurs de soins de santé, public</w:t>
      </w:r>
      <w:r w:rsidR="00B84156">
        <w:rPr>
          <w:lang w:val="fr-FR"/>
        </w:rPr>
        <w:t>s, privés</w:t>
      </w:r>
    </w:p>
    <w:p w14:paraId="5F4D6EB6" w14:textId="77777777" w:rsidR="00B84156" w:rsidRDefault="00B8415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Faire participer les personnes atteintes de tuberculose et la communauté par la maladie</w:t>
      </w:r>
    </w:p>
    <w:p w14:paraId="389D20BF" w14:textId="77777777" w:rsidR="00B84156" w:rsidRDefault="00B8415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Faciliter et encourager la recherche par la mise au point de nouveaux médicaments, de vaccins et de meilleurs outils diagnostiques</w:t>
      </w:r>
    </w:p>
    <w:p w14:paraId="7EFE170D" w14:textId="77777777" w:rsidR="00B84156" w:rsidRDefault="00B84156" w:rsidP="00B84156">
      <w:pPr>
        <w:pStyle w:val="Titre1"/>
        <w:rPr>
          <w:lang w:val="fr-FR"/>
        </w:rPr>
      </w:pPr>
      <w:r>
        <w:rPr>
          <w:lang w:val="fr-FR"/>
        </w:rPr>
        <w:t>Cas particuliers</w:t>
      </w:r>
    </w:p>
    <w:p w14:paraId="74C73B7D" w14:textId="77777777" w:rsidR="00B84156" w:rsidRDefault="00B84156" w:rsidP="00B84156">
      <w:pPr>
        <w:pStyle w:val="Titre2"/>
        <w:rPr>
          <w:lang w:val="fr-FR"/>
        </w:rPr>
      </w:pPr>
      <w:r>
        <w:rPr>
          <w:lang w:val="fr-FR"/>
        </w:rPr>
        <w:t>Cas particulier I : résistance</w:t>
      </w:r>
    </w:p>
    <w:p w14:paraId="1A422EA9" w14:textId="77777777" w:rsidR="00B84156" w:rsidRDefault="00B84156" w:rsidP="00B84156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Résistance aux antituberculeux : </w:t>
      </w:r>
      <w:r w:rsidR="00531E52">
        <w:rPr>
          <w:lang w:val="fr-FR"/>
        </w:rPr>
        <w:t xml:space="preserve">3,8% (Madagascar), 3,7% (Monde) </w:t>
      </w:r>
      <w:r w:rsidR="00531E52">
        <w:rPr>
          <w:rFonts w:cs="Times New Roman"/>
          <w:lang w:val="fr-FR"/>
        </w:rPr>
        <w:t>→</w:t>
      </w:r>
      <w:r w:rsidR="00531E52">
        <w:rPr>
          <w:lang w:val="fr-FR"/>
        </w:rPr>
        <w:t xml:space="preserve"> TB-MR et TB-UR</w:t>
      </w:r>
    </w:p>
    <w:p w14:paraId="7804D3CC" w14:textId="77777777"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Schéma thérapeutique adapté (en quantité &amp; en durée) à chaque cas de tuberculose</w:t>
      </w:r>
    </w:p>
    <w:p w14:paraId="6C3E211C" w14:textId="77777777"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Assurance d’un approvisionnement régulier des médicaments</w:t>
      </w:r>
    </w:p>
    <w:p w14:paraId="26890D82" w14:textId="77777777"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Prévention des abandons au traitement</w:t>
      </w:r>
    </w:p>
    <w:p w14:paraId="72D80213" w14:textId="77777777" w:rsidR="00531E52" w:rsidRDefault="00531E52" w:rsidP="00531E52">
      <w:pPr>
        <w:pStyle w:val="Titre2"/>
        <w:rPr>
          <w:lang w:val="fr-FR"/>
        </w:rPr>
      </w:pPr>
      <w:r>
        <w:rPr>
          <w:lang w:val="fr-FR"/>
        </w:rPr>
        <w:t>Cas particulier II : co-infection TB/VIH</w:t>
      </w:r>
    </w:p>
    <w:p w14:paraId="63D4888A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Incidence de la tuberculose chez les PVVIH = 10 fois plus élevée (vs personne sans VIH)</w:t>
      </w:r>
    </w:p>
    <w:p w14:paraId="6B86F6DD" w14:textId="77777777"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lastRenderedPageBreak/>
        <w:t>Intégrer les services TB et VIH</w:t>
      </w:r>
    </w:p>
    <w:p w14:paraId="33B9693B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Création d’un organe de coordination TB/VIH</w:t>
      </w:r>
    </w:p>
    <w:p w14:paraId="6B06DA77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Détermination de la prévalence du VIH chez les patients TB et de la TB chez les PVVIH</w:t>
      </w:r>
    </w:p>
    <w:p w14:paraId="00F805DD" w14:textId="77777777"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t>Réduire la charge de la tuberculose chez les PVVIH</w:t>
      </w:r>
    </w:p>
    <w:p w14:paraId="4605A1DD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Dépistage de la tuberculose chez les PVVIH</w:t>
      </w:r>
    </w:p>
    <w:p w14:paraId="611F6610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Prévention de la tuberculose (isoniazide) chez les PVVIH</w:t>
      </w:r>
    </w:p>
    <w:p w14:paraId="0C9B63C2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Prévention de la transmission de la tuberculose dans les services prenant en charge les PVVIH</w:t>
      </w:r>
    </w:p>
    <w:p w14:paraId="404ECB30" w14:textId="77777777"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t>Réduire la charge du VIH chez les patients TB</w:t>
      </w:r>
    </w:p>
    <w:p w14:paraId="29D5D5BE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Réalisation systématique de conseil du dépistage du VIH chez les patients tuberculeux</w:t>
      </w:r>
    </w:p>
    <w:p w14:paraId="0B75A3AE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Dispensation de schéma thérapeutique adéquat à tous les sujets coinfectés par TB/VIH</w:t>
      </w:r>
    </w:p>
    <w:p w14:paraId="3B1512E4" w14:textId="77777777" w:rsidR="00531E52" w:rsidRDefault="00531E52" w:rsidP="00531E52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32829603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Mode de transmission : non complexe</w:t>
      </w:r>
    </w:p>
    <w:p w14:paraId="56C1BB1E" w14:textId="77777777"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Lutte plus difficile à mener car</w:t>
      </w:r>
    </w:p>
    <w:p w14:paraId="6134596B" w14:textId="77777777"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Parcours de dépistage « long »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taux de dépistage faible</w:t>
      </w:r>
    </w:p>
    <w:p w14:paraId="305750D0" w14:textId="77777777" w:rsidR="00531E52" w:rsidRP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Parcours de traitement « long »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risque élevé d’abandon</w:t>
      </w:r>
    </w:p>
    <w:sectPr w:rsidR="00531E52" w:rsidRPr="00531E52" w:rsidSect="00ED58FF">
      <w:headerReference w:type="default" r:id="rId10"/>
      <w:footerReference w:type="default" r:id="rId11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AE0BF" w14:textId="77777777" w:rsidR="004B17BE" w:rsidRDefault="004B17BE" w:rsidP="00ED58FF">
      <w:pPr>
        <w:spacing w:line="240" w:lineRule="auto"/>
      </w:pPr>
      <w:r>
        <w:separator/>
      </w:r>
    </w:p>
  </w:endnote>
  <w:endnote w:type="continuationSeparator" w:id="0">
    <w:p w14:paraId="1F10F96D" w14:textId="77777777" w:rsidR="004B17BE" w:rsidRDefault="004B17B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9795C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44B8C62C" wp14:editId="7F97643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14EA1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DED8BB1" wp14:editId="4D14F8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C6CC4EA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4BCB1" w14:textId="77777777" w:rsidR="004B17BE" w:rsidRDefault="004B17BE" w:rsidP="00ED58FF">
      <w:pPr>
        <w:spacing w:line="240" w:lineRule="auto"/>
      </w:pPr>
      <w:r>
        <w:separator/>
      </w:r>
    </w:p>
  </w:footnote>
  <w:footnote w:type="continuationSeparator" w:id="0">
    <w:p w14:paraId="71E3BF0D" w14:textId="77777777" w:rsidR="004B17BE" w:rsidRDefault="004B17BE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28DE2" w14:textId="77777777" w:rsidR="00ED58FF" w:rsidRPr="00696BBE" w:rsidRDefault="0066317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05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C602EE1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DB7251"/>
    <w:multiLevelType w:val="hybridMultilevel"/>
    <w:tmpl w:val="E03AA46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A45D4"/>
    <w:multiLevelType w:val="hybridMultilevel"/>
    <w:tmpl w:val="3BC2FE3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C05F0"/>
    <w:multiLevelType w:val="hybridMultilevel"/>
    <w:tmpl w:val="FDE4B99C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54743"/>
    <w:multiLevelType w:val="hybridMultilevel"/>
    <w:tmpl w:val="3314FBF0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60696"/>
    <w:multiLevelType w:val="hybridMultilevel"/>
    <w:tmpl w:val="B1823ABA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06099C"/>
    <w:multiLevelType w:val="hybridMultilevel"/>
    <w:tmpl w:val="336C16F2"/>
    <w:lvl w:ilvl="0" w:tplc="E3364C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6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7"/>
  </w:num>
  <w:num w:numId="34">
    <w:abstractNumId w:val="2"/>
  </w:num>
  <w:num w:numId="35">
    <w:abstractNumId w:val="4"/>
  </w:num>
  <w:num w:numId="36">
    <w:abstractNumId w:val="1"/>
  </w:num>
  <w:num w:numId="37">
    <w:abstractNumId w:val="5"/>
  </w:num>
  <w:num w:numId="3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6EB8"/>
    <w:rsid w:val="003C5F05"/>
    <w:rsid w:val="003D25C6"/>
    <w:rsid w:val="004538AD"/>
    <w:rsid w:val="0046389A"/>
    <w:rsid w:val="004B17BE"/>
    <w:rsid w:val="004E639C"/>
    <w:rsid w:val="00502925"/>
    <w:rsid w:val="00504447"/>
    <w:rsid w:val="0052387B"/>
    <w:rsid w:val="00531E52"/>
    <w:rsid w:val="00537805"/>
    <w:rsid w:val="00554F63"/>
    <w:rsid w:val="005A6393"/>
    <w:rsid w:val="005B1E9F"/>
    <w:rsid w:val="006132E9"/>
    <w:rsid w:val="00623CD5"/>
    <w:rsid w:val="006437F0"/>
    <w:rsid w:val="0065136F"/>
    <w:rsid w:val="006568FF"/>
    <w:rsid w:val="0066020E"/>
    <w:rsid w:val="0066317F"/>
    <w:rsid w:val="00673D85"/>
    <w:rsid w:val="006815B4"/>
    <w:rsid w:val="006860BF"/>
    <w:rsid w:val="00696BBE"/>
    <w:rsid w:val="006B264B"/>
    <w:rsid w:val="0075213D"/>
    <w:rsid w:val="00795614"/>
    <w:rsid w:val="007C33B7"/>
    <w:rsid w:val="00827716"/>
    <w:rsid w:val="00845DB6"/>
    <w:rsid w:val="00872EA0"/>
    <w:rsid w:val="008809FC"/>
    <w:rsid w:val="008C5E2B"/>
    <w:rsid w:val="008C7005"/>
    <w:rsid w:val="008D2EFE"/>
    <w:rsid w:val="008D5B42"/>
    <w:rsid w:val="008E4E4B"/>
    <w:rsid w:val="008F1FDE"/>
    <w:rsid w:val="00926B96"/>
    <w:rsid w:val="00A20C5D"/>
    <w:rsid w:val="00AB4EC0"/>
    <w:rsid w:val="00AC0D72"/>
    <w:rsid w:val="00AD761F"/>
    <w:rsid w:val="00B84156"/>
    <w:rsid w:val="00BB4BA5"/>
    <w:rsid w:val="00C36BEA"/>
    <w:rsid w:val="00C5254A"/>
    <w:rsid w:val="00CA01E4"/>
    <w:rsid w:val="00D002C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45065"/>
    <w:rsid w:val="00ED0596"/>
    <w:rsid w:val="00ED58FF"/>
    <w:rsid w:val="00EF59BE"/>
    <w:rsid w:val="00F048D4"/>
    <w:rsid w:val="00F17AB1"/>
    <w:rsid w:val="00F73EDE"/>
    <w:rsid w:val="00FC49E9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9AA77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6317F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17F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C525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1361</Words>
  <Characters>7762</Characters>
  <Application>Microsoft Office Word</Application>
  <DocSecurity>0</DocSecurity>
  <Lines>64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31</vt:i4>
      </vt:variant>
    </vt:vector>
  </HeadingPairs>
  <TitlesOfParts>
    <vt:vector size="32" baseType="lpstr">
      <vt:lpstr/>
      <vt:lpstr>Considération générale </vt:lpstr>
      <vt:lpstr>Rappels </vt:lpstr>
      <vt:lpstr>    Agents étiologiques</vt:lpstr>
      <vt:lpstr>    Mode de transmission</vt:lpstr>
      <vt:lpstr>Principe de lutte </vt:lpstr>
      <vt:lpstr>    Prise en charge des cas</vt:lpstr>
      <vt:lpstr>    Définition des cas cliniques</vt:lpstr>
      <vt:lpstr>    Prise en charge </vt:lpstr>
      <vt:lpstr>        Point pratique</vt:lpstr>
      <vt:lpstr>        Régime thérapeutique</vt:lpstr>
      <vt:lpstr>        Médicament et posologie</vt:lpstr>
      <vt:lpstr>    Définition des cas au terme du traitement : 6 catégories </vt:lpstr>
      <vt:lpstr>    Cas particulier</vt:lpstr>
      <vt:lpstr>    Principaux indicateurs</vt:lpstr>
      <vt:lpstr>    Approche pour minimiser les abandons </vt:lpstr>
      <vt:lpstr>        CDT intégré dans les grands hôpitaux </vt:lpstr>
      <vt:lpstr>        CDT intégré dans les CSB publics</vt:lpstr>
      <vt:lpstr>        CDT intégré dans les CSB privés</vt:lpstr>
      <vt:lpstr>    Mesures collectives</vt:lpstr>
      <vt:lpstr>    Mesures individuelles</vt:lpstr>
      <vt:lpstr>    Surveillance</vt:lpstr>
      <vt:lpstr>Stratégies internationales de lutte contre la tuberculose</vt:lpstr>
      <vt:lpstr>    Stratégie « DOTS »</vt:lpstr>
      <vt:lpstr>    Stratégie Halte à la tuberculose</vt:lpstr>
      <vt:lpstr>Cas particuliers</vt:lpstr>
      <vt:lpstr>    Cas particulier I : résistance</vt:lpstr>
      <vt:lpstr>    Cas particulier II : co-infection TB/VIH</vt:lpstr>
      <vt:lpstr>        Intégrer les services TB et VIH</vt:lpstr>
      <vt:lpstr>        Réduire la charge de la tuberculose chez les PVVIH</vt:lpstr>
      <vt:lpstr>        Réduire la charge du VIH chez les patients TB</vt:lpstr>
      <vt:lpstr>Conclusion</vt:lpstr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34</cp:revision>
  <dcterms:created xsi:type="dcterms:W3CDTF">2025-06-07T01:39:00Z</dcterms:created>
  <dcterms:modified xsi:type="dcterms:W3CDTF">2026-07-18T06:50:00Z</dcterms:modified>
</cp:coreProperties>
</file>