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315772" w:rsidP="00B61359">
      <w:pPr>
        <w:pStyle w:val="Titre"/>
      </w:pPr>
      <w:r>
        <w:t>stomatite</w:t>
      </w:r>
    </w:p>
    <w:p w:rsidR="00B61359" w:rsidRPr="00CE16B4" w:rsidRDefault="00B61359" w:rsidP="00CE16B4">
      <w:pPr>
        <w:spacing w:before="0" w:after="0"/>
        <w:jc w:val="right"/>
      </w:pPr>
    </w:p>
    <w:p w:rsidR="00B61359" w:rsidRDefault="00315772" w:rsidP="00706A62">
      <w:pPr>
        <w:pStyle w:val="Titre1"/>
      </w:pPr>
      <w:r>
        <w:t>généraités</w:t>
      </w:r>
      <w:r w:rsidR="00706A62">
        <w:t> :</w:t>
      </w:r>
    </w:p>
    <w:p w:rsidR="00706A62" w:rsidRDefault="00315772" w:rsidP="00706A62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Infections des muqueuses</w:t>
      </w:r>
      <w:r>
        <w:t xml:space="preserve"> (épithélium + chorion)</w:t>
      </w:r>
    </w:p>
    <w:p w:rsidR="00315772" w:rsidRPr="0086288B" w:rsidRDefault="00315772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86288B">
        <w:rPr>
          <w:b/>
          <w:bCs/>
        </w:rPr>
        <w:t>Muqueuses buccales :</w:t>
      </w:r>
    </w:p>
    <w:p w:rsidR="00315772" w:rsidRDefault="00315772" w:rsidP="00315772">
      <w:pPr>
        <w:pStyle w:val="Paragraphedeliste"/>
        <w:numPr>
          <w:ilvl w:val="1"/>
          <w:numId w:val="1"/>
        </w:numPr>
      </w:pPr>
      <w:proofErr w:type="spellStart"/>
      <w:r>
        <w:t>Rétrolabiale</w:t>
      </w:r>
      <w:proofErr w:type="spellEnd"/>
    </w:p>
    <w:p w:rsidR="00315772" w:rsidRDefault="00315772" w:rsidP="00315772">
      <w:pPr>
        <w:pStyle w:val="Paragraphedeliste"/>
        <w:numPr>
          <w:ilvl w:val="1"/>
          <w:numId w:val="1"/>
        </w:numPr>
      </w:pPr>
      <w:r>
        <w:t>Plancher buccal</w:t>
      </w:r>
    </w:p>
    <w:p w:rsidR="00315772" w:rsidRDefault="00315772" w:rsidP="00315772">
      <w:pPr>
        <w:pStyle w:val="Paragraphedeliste"/>
        <w:numPr>
          <w:ilvl w:val="1"/>
          <w:numId w:val="1"/>
        </w:numPr>
      </w:pPr>
      <w:r>
        <w:t>Lingual</w:t>
      </w:r>
    </w:p>
    <w:p w:rsidR="00315772" w:rsidRDefault="00315772" w:rsidP="00315772">
      <w:pPr>
        <w:pStyle w:val="Paragraphedeliste"/>
        <w:numPr>
          <w:ilvl w:val="1"/>
          <w:numId w:val="1"/>
        </w:numPr>
      </w:pPr>
      <w:r>
        <w:t>Voile</w:t>
      </w:r>
    </w:p>
    <w:p w:rsidR="00315772" w:rsidRDefault="00315772" w:rsidP="00315772">
      <w:pPr>
        <w:pStyle w:val="Paragraphedeliste"/>
        <w:numPr>
          <w:ilvl w:val="1"/>
          <w:numId w:val="1"/>
        </w:numPr>
      </w:pPr>
      <w:r>
        <w:t>Palais dur</w:t>
      </w:r>
    </w:p>
    <w:p w:rsidR="00315772" w:rsidRDefault="00315772" w:rsidP="00315772">
      <w:pPr>
        <w:pStyle w:val="Paragraphedeliste"/>
        <w:numPr>
          <w:ilvl w:val="1"/>
          <w:numId w:val="1"/>
        </w:numPr>
      </w:pPr>
      <w:r>
        <w:t>Jugales</w:t>
      </w:r>
    </w:p>
    <w:p w:rsidR="00315772" w:rsidRDefault="0028124B" w:rsidP="0028124B">
      <w:pPr>
        <w:pStyle w:val="Titre1"/>
      </w:pPr>
      <w:r>
        <w:t>Etiologies :</w:t>
      </w:r>
    </w:p>
    <w:p w:rsidR="0028124B" w:rsidRDefault="0028124B" w:rsidP="0028124B">
      <w:pPr>
        <w:pStyle w:val="Titre2"/>
      </w:pPr>
      <w:r>
        <w:t>Stomatite virale :</w:t>
      </w:r>
    </w:p>
    <w:p w:rsidR="00116659" w:rsidRDefault="0028124B" w:rsidP="0028124B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Rougeole :</w:t>
      </w:r>
      <w:r>
        <w:t xml:space="preserve"> l’énanthème constitue un signe important et presque pathognomonique quand sa topographie se situe autour de l’ostium de </w:t>
      </w:r>
      <w:proofErr w:type="spellStart"/>
      <w:r>
        <w:t>sténon</w:t>
      </w:r>
      <w:proofErr w:type="spellEnd"/>
      <w:r>
        <w:t xml:space="preserve">. Ce signe indique dans la plupart des cas une rougeole débutante, ces énanthème péri-ostéale s'appelle </w:t>
      </w:r>
      <w:proofErr w:type="spellStart"/>
      <w:r w:rsidR="00116659">
        <w:t>Kolpick</w:t>
      </w:r>
      <w:proofErr w:type="spellEnd"/>
      <w:r w:rsidR="00116659">
        <w:t xml:space="preserve"> </w:t>
      </w:r>
    </w:p>
    <w:p w:rsidR="0028124B" w:rsidRDefault="00116659" w:rsidP="0028124B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Herpès :</w:t>
      </w:r>
      <w:r>
        <w:t xml:space="preserve"> lésions vésiculeuse labiale ou péri-labial et parfois gingivale</w:t>
      </w:r>
      <w:r w:rsidR="0028124B">
        <w:t xml:space="preserve"> </w:t>
      </w:r>
    </w:p>
    <w:p w:rsidR="00116659" w:rsidRDefault="00116659" w:rsidP="0028124B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Varicelle et Zona :</w:t>
      </w:r>
      <w:r>
        <w:t xml:space="preserve"> lésion vésiculeuse sur la face dorsale de la langue au niveau de voile et du palais. Le zona a une siège unilatérale et correspond à une zone innervé par un nerf</w:t>
      </w:r>
    </w:p>
    <w:p w:rsidR="00116659" w:rsidRPr="0028124B" w:rsidRDefault="00116659" w:rsidP="00751959">
      <w:pPr>
        <w:pStyle w:val="Titre2"/>
      </w:pPr>
      <w:r>
        <w:t>Stomatite bactérienne :</w:t>
      </w:r>
      <w:r w:rsidR="00751959">
        <w:t xml:space="preserve"> </w:t>
      </w:r>
      <w:r w:rsidR="00751959" w:rsidRPr="00751959">
        <w:rPr>
          <w:b w:val="0"/>
          <w:bCs/>
        </w:rPr>
        <w:t>origine local +++ (dentaire, parodontite) ou général (diabète, hémopathie)</w:t>
      </w:r>
    </w:p>
    <w:p w:rsidR="00706A62" w:rsidRPr="0086288B" w:rsidRDefault="00751959" w:rsidP="00751959">
      <w:pPr>
        <w:pStyle w:val="Paragraphedeliste"/>
        <w:numPr>
          <w:ilvl w:val="0"/>
          <w:numId w:val="1"/>
        </w:numPr>
        <w:rPr>
          <w:b/>
          <w:bCs/>
          <w:highlight w:val="yellow"/>
        </w:rPr>
      </w:pPr>
      <w:r w:rsidRPr="0086288B">
        <w:rPr>
          <w:b/>
          <w:bCs/>
          <w:highlight w:val="yellow"/>
        </w:rPr>
        <w:t xml:space="preserve">C’est une inflammation très souvent limité ; érythémateuse, douloureuses, avec pus </w:t>
      </w:r>
    </w:p>
    <w:p w:rsidR="00751959" w:rsidRDefault="00751959" w:rsidP="0086288B">
      <w:pPr>
        <w:pStyle w:val="Paragraphedeliste"/>
        <w:numPr>
          <w:ilvl w:val="0"/>
          <w:numId w:val="1"/>
        </w:numPr>
        <w:jc w:val="both"/>
      </w:pPr>
      <w:r w:rsidRPr="0086288B">
        <w:rPr>
          <w:b/>
          <w:bCs/>
        </w:rPr>
        <w:t>Existe stomatite syphilitique</w:t>
      </w:r>
      <w:r>
        <w:t xml:space="preserve"> et </w:t>
      </w:r>
      <w:r w:rsidRPr="0086288B">
        <w:rPr>
          <w:b/>
          <w:bCs/>
        </w:rPr>
        <w:t>tuberculeux</w:t>
      </w:r>
      <w:r>
        <w:t xml:space="preserve"> </w:t>
      </w:r>
    </w:p>
    <w:p w:rsidR="00751959" w:rsidRDefault="00770A82" w:rsidP="00751959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Gravité :</w:t>
      </w:r>
      <w:r>
        <w:t xml:space="preserve"> stomatite gangreneuse entraînant une nécrose des parties molles par des bactéries anaérobies évoluant vers le </w:t>
      </w:r>
      <w:proofErr w:type="spellStart"/>
      <w:r>
        <w:t>Noma</w:t>
      </w:r>
      <w:proofErr w:type="spellEnd"/>
      <w:r>
        <w:t xml:space="preserve"> </w:t>
      </w:r>
    </w:p>
    <w:p w:rsidR="00770A82" w:rsidRDefault="00770A82" w:rsidP="00770A82">
      <w:pPr>
        <w:pStyle w:val="Titre2"/>
      </w:pPr>
      <w:r>
        <w:t>Stomatite mycosique :</w:t>
      </w:r>
    </w:p>
    <w:p w:rsidR="00770A82" w:rsidRDefault="00770A82" w:rsidP="00770A82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30 – 50% =</w:t>
      </w:r>
      <w:r>
        <w:t xml:space="preserve"> Candida </w:t>
      </w:r>
      <w:proofErr w:type="spellStart"/>
      <w:r>
        <w:t>albicans</w:t>
      </w:r>
      <w:proofErr w:type="spellEnd"/>
      <w:r>
        <w:t xml:space="preserve"> </w:t>
      </w:r>
    </w:p>
    <w:p w:rsidR="00770A82" w:rsidRDefault="00770A82" w:rsidP="00770A82">
      <w:pPr>
        <w:pStyle w:val="Paragraphedeliste"/>
        <w:numPr>
          <w:ilvl w:val="0"/>
          <w:numId w:val="1"/>
        </w:numPr>
      </w:pPr>
      <w:r>
        <w:t>Saprophytes puis passage au parasitisme par modification du terrain (physiologique comme la grossesse ou pathologique comme le diabète, iatrogène par corticothérapie au long cours, antibiothérapie à long terme)</w:t>
      </w:r>
    </w:p>
    <w:p w:rsidR="00770A82" w:rsidRDefault="00770A82" w:rsidP="00770A82">
      <w:pPr>
        <w:pStyle w:val="Paragraphedeliste"/>
        <w:numPr>
          <w:ilvl w:val="0"/>
          <w:numId w:val="1"/>
        </w:numPr>
      </w:pPr>
      <w:r>
        <w:t>Xérostomie, sécheresse buccal</w:t>
      </w:r>
    </w:p>
    <w:p w:rsidR="00770A82" w:rsidRPr="0086288B" w:rsidRDefault="00770A82" w:rsidP="00770A82">
      <w:pPr>
        <w:pStyle w:val="Paragraphedeliste"/>
        <w:numPr>
          <w:ilvl w:val="0"/>
          <w:numId w:val="1"/>
        </w:numPr>
        <w:rPr>
          <w:b/>
          <w:bCs/>
        </w:rPr>
      </w:pPr>
      <w:r w:rsidRPr="0086288B">
        <w:rPr>
          <w:b/>
          <w:bCs/>
        </w:rPr>
        <w:t>Manifestation clinique :</w:t>
      </w:r>
    </w:p>
    <w:p w:rsidR="00770A82" w:rsidRDefault="00770A82" w:rsidP="00770A82">
      <w:pPr>
        <w:pStyle w:val="Paragraphedeliste"/>
        <w:numPr>
          <w:ilvl w:val="1"/>
          <w:numId w:val="1"/>
        </w:numPr>
      </w:pPr>
      <w:r w:rsidRPr="0086288B">
        <w:rPr>
          <w:b/>
          <w:bCs/>
          <w:i/>
          <w:iCs/>
        </w:rPr>
        <w:t>Aiguë :</w:t>
      </w:r>
      <w:r>
        <w:t xml:space="preserve"> langue rouge </w:t>
      </w:r>
      <w:proofErr w:type="spellStart"/>
      <w:r>
        <w:t>dépapillé</w:t>
      </w:r>
      <w:proofErr w:type="spellEnd"/>
      <w:r>
        <w:t xml:space="preserve"> sèche et mince, indolore, +/- enduit blanchâtre détachable</w:t>
      </w:r>
    </w:p>
    <w:p w:rsidR="00770A82" w:rsidRDefault="00770A82" w:rsidP="00770A82">
      <w:pPr>
        <w:pStyle w:val="Paragraphedeliste"/>
        <w:numPr>
          <w:ilvl w:val="1"/>
          <w:numId w:val="1"/>
        </w:numPr>
      </w:pPr>
      <w:r w:rsidRPr="0086288B">
        <w:rPr>
          <w:b/>
          <w:bCs/>
          <w:i/>
          <w:iCs/>
        </w:rPr>
        <w:t>Chronique :</w:t>
      </w:r>
      <w:r>
        <w:t xml:space="preserve"> placards inflammatoires avec des plaques blanches puis adhérant au niveau d</w:t>
      </w:r>
      <w:r w:rsidR="00B31C90">
        <w:t>e la langue, palais, joue, lèvre</w:t>
      </w:r>
    </w:p>
    <w:p w:rsidR="00B31C90" w:rsidRDefault="00A44237" w:rsidP="00770A82">
      <w:pPr>
        <w:pStyle w:val="Paragraphedeliste"/>
        <w:numPr>
          <w:ilvl w:val="1"/>
          <w:numId w:val="1"/>
        </w:numPr>
      </w:pPr>
      <w:r w:rsidRPr="0086288B">
        <w:rPr>
          <w:b/>
          <w:bCs/>
          <w:i/>
          <w:iCs/>
        </w:rPr>
        <w:t>D</w:t>
      </w:r>
      <w:r w:rsidR="00B31C90" w:rsidRPr="0086288B">
        <w:rPr>
          <w:b/>
          <w:bCs/>
          <w:i/>
          <w:iCs/>
        </w:rPr>
        <w:t>iagnostic positif :</w:t>
      </w:r>
      <w:r w:rsidR="00B31C90">
        <w:t xml:space="preserve"> mise en évidence des Candida </w:t>
      </w:r>
      <w:proofErr w:type="spellStart"/>
      <w:r w:rsidR="00B31C90">
        <w:t>albicans</w:t>
      </w:r>
      <w:proofErr w:type="spellEnd"/>
      <w:r w:rsidR="00B31C90">
        <w:t xml:space="preserve"> à l’examen direct ou mise en évidence de plusieurs colonies à la culture sur milieu de </w:t>
      </w:r>
      <w:proofErr w:type="spellStart"/>
      <w:r w:rsidR="00B31C90">
        <w:t>SABOURAU</w:t>
      </w:r>
      <w:r w:rsidR="00BD6877">
        <w:t>d</w:t>
      </w:r>
      <w:proofErr w:type="spellEnd"/>
    </w:p>
    <w:p w:rsidR="00706A62" w:rsidRDefault="00B31C90" w:rsidP="00B31C90">
      <w:pPr>
        <w:pStyle w:val="Titre2"/>
      </w:pPr>
      <w:r>
        <w:t>Aphtes :</w:t>
      </w:r>
    </w:p>
    <w:p w:rsidR="00706A62" w:rsidRDefault="00B21008" w:rsidP="00B21008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 xml:space="preserve">Caractéristiques de la lésion : </w:t>
      </w:r>
      <w:r>
        <w:t xml:space="preserve">ulcérations de la muqueuse globalement arrondie à fond grisâtre, nécrotique, entouré d’une aréole érythémateuse, sans induration à la palpation, très douloureuse et que la douleur passe la limite de la </w:t>
      </w:r>
      <w:r w:rsidR="00AE717D">
        <w:t>lésion, né saignant pas au contant</w:t>
      </w:r>
    </w:p>
    <w:p w:rsidR="00AE717D" w:rsidRDefault="00AE717D" w:rsidP="00B21008">
      <w:pPr>
        <w:pStyle w:val="Paragraphedeliste"/>
        <w:numPr>
          <w:ilvl w:val="0"/>
          <w:numId w:val="1"/>
        </w:numPr>
      </w:pPr>
      <w:r>
        <w:lastRenderedPageBreak/>
        <w:t>Etiologie non élucidé</w:t>
      </w:r>
    </w:p>
    <w:p w:rsidR="00AE717D" w:rsidRPr="0086288B" w:rsidRDefault="00AE717D" w:rsidP="00B21008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proofErr w:type="spellStart"/>
      <w:r w:rsidRPr="0086288B">
        <w:rPr>
          <w:rFonts w:ascii="Fairwater Script" w:hAnsi="Fairwater Script"/>
        </w:rPr>
        <w:t>Réhéfa</w:t>
      </w:r>
      <w:proofErr w:type="spellEnd"/>
      <w:r w:rsidRPr="0086288B">
        <w:rPr>
          <w:rFonts w:ascii="Fairwater Script" w:hAnsi="Fairwater Script"/>
        </w:rPr>
        <w:t xml:space="preserve"> </w:t>
      </w:r>
      <w:proofErr w:type="spellStart"/>
      <w:r w:rsidRPr="0086288B">
        <w:rPr>
          <w:rFonts w:ascii="Fairwater Script" w:hAnsi="Fairwater Script"/>
        </w:rPr>
        <w:t>tsy</w:t>
      </w:r>
      <w:proofErr w:type="spellEnd"/>
      <w:r w:rsidRPr="0086288B">
        <w:rPr>
          <w:rFonts w:ascii="Fairwater Script" w:hAnsi="Fairwater Script"/>
        </w:rPr>
        <w:t xml:space="preserve"> </w:t>
      </w:r>
      <w:proofErr w:type="spellStart"/>
      <w:r w:rsidRPr="0086288B">
        <w:rPr>
          <w:rFonts w:ascii="Fairwater Script" w:hAnsi="Fairwater Script"/>
        </w:rPr>
        <w:t>misakafo</w:t>
      </w:r>
      <w:proofErr w:type="spellEnd"/>
      <w:r w:rsidRPr="0086288B">
        <w:rPr>
          <w:rFonts w:ascii="Fairwater Script" w:hAnsi="Fairwater Script"/>
        </w:rPr>
        <w:t xml:space="preserve"> </w:t>
      </w:r>
      <w:proofErr w:type="spellStart"/>
      <w:r w:rsidRPr="0086288B">
        <w:rPr>
          <w:rFonts w:ascii="Fairwater Script" w:hAnsi="Fairwater Script"/>
        </w:rPr>
        <w:t>izy</w:t>
      </w:r>
      <w:proofErr w:type="spellEnd"/>
      <w:r w:rsidRPr="0086288B">
        <w:rPr>
          <w:rFonts w:ascii="Fairwater Script" w:hAnsi="Fairwater Script"/>
        </w:rPr>
        <w:t xml:space="preserve"> de </w:t>
      </w:r>
      <w:proofErr w:type="spellStart"/>
      <w:r w:rsidRPr="0086288B">
        <w:rPr>
          <w:rFonts w:ascii="Fairwater Script" w:hAnsi="Fairwater Script"/>
        </w:rPr>
        <w:t>asiana</w:t>
      </w:r>
      <w:proofErr w:type="spellEnd"/>
      <w:r w:rsidRPr="0086288B">
        <w:rPr>
          <w:rFonts w:ascii="Fairwater Script" w:hAnsi="Fairwater Script"/>
        </w:rPr>
        <w:t xml:space="preserve"> anesthésie (</w:t>
      </w:r>
      <w:proofErr w:type="spellStart"/>
      <w:r w:rsidRPr="0086288B">
        <w:rPr>
          <w:rFonts w:ascii="Fairwater Script" w:hAnsi="Fairwater Script"/>
        </w:rPr>
        <w:t>ludocaïne</w:t>
      </w:r>
      <w:proofErr w:type="spellEnd"/>
      <w:r w:rsidRPr="0086288B">
        <w:rPr>
          <w:rFonts w:ascii="Fairwater Script" w:hAnsi="Fairwater Script"/>
        </w:rPr>
        <w:t xml:space="preserve"> 5% </w:t>
      </w:r>
      <w:proofErr w:type="spellStart"/>
      <w:r w:rsidRPr="0086288B">
        <w:rPr>
          <w:rFonts w:ascii="Fairwater Script" w:hAnsi="Fairwater Script"/>
        </w:rPr>
        <w:t>ohatra</w:t>
      </w:r>
      <w:proofErr w:type="spellEnd"/>
      <w:r w:rsidRPr="0086288B">
        <w:rPr>
          <w:rFonts w:ascii="Fairwater Script" w:hAnsi="Fairwater Script"/>
        </w:rPr>
        <w:t xml:space="preserve">) @coton, de </w:t>
      </w:r>
      <w:proofErr w:type="spellStart"/>
      <w:r w:rsidRPr="0086288B">
        <w:rPr>
          <w:rFonts w:ascii="Fairwater Script" w:hAnsi="Fairwater Script"/>
        </w:rPr>
        <w:t>apetaka</w:t>
      </w:r>
      <w:proofErr w:type="spellEnd"/>
      <w:r w:rsidRPr="0086288B">
        <w:rPr>
          <w:rFonts w:ascii="Fairwater Script" w:hAnsi="Fairwater Script"/>
        </w:rPr>
        <w:t xml:space="preserve"> et dia </w:t>
      </w:r>
      <w:proofErr w:type="spellStart"/>
      <w:r w:rsidRPr="0086288B">
        <w:rPr>
          <w:rFonts w:ascii="Fairwater Script" w:hAnsi="Fairwater Script"/>
        </w:rPr>
        <w:t>misakaf</w:t>
      </w:r>
      <w:r w:rsidR="00BB5ED4" w:rsidRPr="0086288B">
        <w:rPr>
          <w:rFonts w:ascii="Fairwater Script" w:hAnsi="Fairwater Script"/>
        </w:rPr>
        <w:t>o</w:t>
      </w:r>
      <w:proofErr w:type="spellEnd"/>
      <w:r w:rsidRPr="0086288B">
        <w:rPr>
          <w:rFonts w:ascii="Fairwater Script" w:hAnsi="Fairwater Script"/>
        </w:rPr>
        <w:t xml:space="preserve"> </w:t>
      </w:r>
      <w:proofErr w:type="spellStart"/>
      <w:r w:rsidRPr="0086288B">
        <w:rPr>
          <w:rFonts w:ascii="Fairwater Script" w:hAnsi="Fairwater Script"/>
        </w:rPr>
        <w:t>aingana</w:t>
      </w:r>
      <w:proofErr w:type="spellEnd"/>
      <w:r w:rsidR="00BB5ED4" w:rsidRPr="0086288B">
        <w:rPr>
          <w:rFonts w:ascii="Fairwater Script" w:hAnsi="Fairwater Script"/>
        </w:rPr>
        <w:t xml:space="preserve">… </w:t>
      </w:r>
      <w:proofErr w:type="spellStart"/>
      <w:r w:rsidR="00BB5ED4" w:rsidRPr="0086288B">
        <w:rPr>
          <w:rFonts w:ascii="Fairwater Script" w:hAnsi="Fairwater Script"/>
        </w:rPr>
        <w:t>mandrampahasitrana</w:t>
      </w:r>
      <w:proofErr w:type="spellEnd"/>
      <w:r w:rsidR="00BB5ED4" w:rsidRPr="0086288B">
        <w:rPr>
          <w:rFonts w:ascii="Fairwater Script" w:hAnsi="Fairwater Script"/>
        </w:rPr>
        <w:t xml:space="preserve"> (</w:t>
      </w:r>
      <w:proofErr w:type="spellStart"/>
      <w:r w:rsidR="00BB5ED4" w:rsidRPr="0086288B">
        <w:rPr>
          <w:rFonts w:ascii="Fairwater Script" w:hAnsi="Fairwater Script"/>
        </w:rPr>
        <w:t>eo</w:t>
      </w:r>
      <w:proofErr w:type="spellEnd"/>
      <w:r w:rsidR="00BB5ED4" w:rsidRPr="0086288B">
        <w:rPr>
          <w:rFonts w:ascii="Fairwater Script" w:hAnsi="Fairwater Script"/>
        </w:rPr>
        <w:t xml:space="preserve"> @4j </w:t>
      </w:r>
      <w:proofErr w:type="spellStart"/>
      <w:r w:rsidR="00BB5ED4" w:rsidRPr="0086288B">
        <w:rPr>
          <w:rFonts w:ascii="Fairwater Script" w:hAnsi="Fairwater Script"/>
        </w:rPr>
        <w:t>eo</w:t>
      </w:r>
      <w:proofErr w:type="spellEnd"/>
      <w:r w:rsidR="00BB5ED4" w:rsidRPr="0086288B">
        <w:rPr>
          <w:rFonts w:ascii="Fairwater Script" w:hAnsi="Fairwater Script"/>
        </w:rPr>
        <w:t xml:space="preserve">, na </w:t>
      </w:r>
      <w:proofErr w:type="spellStart"/>
      <w:r w:rsidR="00BB5ED4" w:rsidRPr="0086288B">
        <w:rPr>
          <w:rFonts w:ascii="Fairwater Script" w:hAnsi="Fairwater Script"/>
        </w:rPr>
        <w:t>asiana</w:t>
      </w:r>
      <w:proofErr w:type="spellEnd"/>
      <w:r w:rsidR="00BB5ED4" w:rsidRPr="0086288B">
        <w:rPr>
          <w:rFonts w:ascii="Fairwater Script" w:hAnsi="Fairwater Script"/>
        </w:rPr>
        <w:t xml:space="preserve"> </w:t>
      </w:r>
      <w:proofErr w:type="spellStart"/>
      <w:r w:rsidR="00BB5ED4" w:rsidRPr="0086288B">
        <w:rPr>
          <w:rFonts w:ascii="Fairwater Script" w:hAnsi="Fairwater Script"/>
        </w:rPr>
        <w:t>asidra</w:t>
      </w:r>
      <w:proofErr w:type="spellEnd"/>
      <w:r w:rsidR="00BB5ED4" w:rsidRPr="0086288B">
        <w:rPr>
          <w:rFonts w:ascii="Fairwater Script" w:hAnsi="Fairwater Script"/>
        </w:rPr>
        <w:t xml:space="preserve"> </w:t>
      </w:r>
      <w:proofErr w:type="spellStart"/>
      <w:r w:rsidR="00BB5ED4" w:rsidRPr="0086288B">
        <w:rPr>
          <w:rFonts w:ascii="Fairwater Script" w:hAnsi="Fairwater Script"/>
        </w:rPr>
        <w:t>kely</w:t>
      </w:r>
      <w:proofErr w:type="spellEnd"/>
      <w:r w:rsidR="00BB5ED4" w:rsidRPr="0086288B">
        <w:rPr>
          <w:rFonts w:ascii="Fairwater Script" w:hAnsi="Fairwater Script"/>
        </w:rPr>
        <w:t xml:space="preserve"> 2 seconde)</w:t>
      </w:r>
    </w:p>
    <w:p w:rsidR="00BB5ED4" w:rsidRDefault="00BB5ED4" w:rsidP="00B21008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Traitement de fond :</w:t>
      </w:r>
      <w:r>
        <w:t xml:space="preserve"> déparasitage régulier </w:t>
      </w:r>
    </w:p>
    <w:p w:rsidR="00BB5ED4" w:rsidRDefault="00BB5ED4" w:rsidP="00B21008">
      <w:pPr>
        <w:pStyle w:val="Paragraphedeliste"/>
        <w:numPr>
          <w:ilvl w:val="0"/>
          <w:numId w:val="1"/>
        </w:numPr>
      </w:pPr>
      <w:r>
        <w:t>Peut siéger sur toute la muqueuse buccale, pouvant être récidivant (</w:t>
      </w:r>
      <w:proofErr w:type="spellStart"/>
      <w:r>
        <w:t>aphtose</w:t>
      </w:r>
      <w:proofErr w:type="spellEnd"/>
      <w:r>
        <w:t xml:space="preserve">) ou associé à d’autres localisations </w:t>
      </w:r>
      <w:r w:rsidR="00DD5C71">
        <w:t>[</w:t>
      </w:r>
      <w:r>
        <w:t xml:space="preserve">aphtes bipolaires = génitales, maladie de </w:t>
      </w:r>
      <w:proofErr w:type="spellStart"/>
      <w:r>
        <w:t>Behçet</w:t>
      </w:r>
      <w:proofErr w:type="spellEnd"/>
      <w:r>
        <w:t xml:space="preserve"> = aphtes buccales + ulcérations génitales + l’œil (iritis)</w:t>
      </w:r>
      <w:r w:rsidR="00DD5C71">
        <w:t>]</w:t>
      </w:r>
    </w:p>
    <w:p w:rsidR="00B31C90" w:rsidRDefault="00DD5C71" w:rsidP="00DD5C71">
      <w:pPr>
        <w:pStyle w:val="Titre2"/>
      </w:pPr>
      <w:r>
        <w:t>Stomatite bulleuse :</w:t>
      </w:r>
    </w:p>
    <w:p w:rsidR="00DD5C71" w:rsidRDefault="00DD5C71" w:rsidP="00DD5C71">
      <w:pPr>
        <w:pStyle w:val="Paragraphedeliste"/>
        <w:numPr>
          <w:ilvl w:val="0"/>
          <w:numId w:val="1"/>
        </w:numPr>
      </w:pPr>
      <w:r w:rsidRPr="0086288B">
        <w:rPr>
          <w:b/>
          <w:bCs/>
        </w:rPr>
        <w:t>Syndrome de Lyell (toxidermie bulleuses grave) :</w:t>
      </w:r>
      <w:r>
        <w:t xml:space="preserve"> gra</w:t>
      </w:r>
      <w:r w:rsidR="00CA7DEA">
        <w:t>nde décollement épidermique généralisé débutant par des lésions muqueuses l’évolution est souvent fatale, générale</w:t>
      </w:r>
      <w:r w:rsidR="00020878">
        <w:t xml:space="preserve">ment ils s’agit d’une intolérance à certaines médicaments </w:t>
      </w:r>
    </w:p>
    <w:p w:rsidR="00020878" w:rsidRDefault="00020878" w:rsidP="00020878">
      <w:pPr>
        <w:pStyle w:val="Titre2"/>
      </w:pPr>
      <w:r>
        <w:t>Kératose :</w:t>
      </w:r>
    </w:p>
    <w:p w:rsidR="00020878" w:rsidRDefault="00020878" w:rsidP="00020878">
      <w:pPr>
        <w:pStyle w:val="Paragraphedeliste"/>
        <w:numPr>
          <w:ilvl w:val="0"/>
          <w:numId w:val="1"/>
        </w:numPr>
      </w:pPr>
      <w:r>
        <w:t xml:space="preserve">Lésions blanches par kératinisation pathologie </w:t>
      </w:r>
      <w:r w:rsidR="00C67844">
        <w:t>de la muqueuse, non détachable au grattage</w:t>
      </w:r>
    </w:p>
    <w:p w:rsidR="00C67844" w:rsidRDefault="00C67844" w:rsidP="00020878">
      <w:pPr>
        <w:pStyle w:val="Paragraphedeliste"/>
        <w:numPr>
          <w:ilvl w:val="0"/>
          <w:numId w:val="1"/>
        </w:numPr>
      </w:pPr>
      <w:r>
        <w:t xml:space="preserve">Possibilité de </w:t>
      </w:r>
      <w:r w:rsidR="0086288B">
        <w:t>dégénérescence</w:t>
      </w:r>
      <w:r>
        <w:t xml:space="preserve"> maligne </w:t>
      </w:r>
    </w:p>
    <w:p w:rsidR="00C67844" w:rsidRPr="00020878" w:rsidRDefault="00C67844" w:rsidP="00020878">
      <w:pPr>
        <w:pStyle w:val="Paragraphedeliste"/>
        <w:numPr>
          <w:ilvl w:val="0"/>
          <w:numId w:val="1"/>
        </w:numPr>
      </w:pPr>
      <w:r>
        <w:t>Facteurs de risques : TABACS</w:t>
      </w:r>
    </w:p>
    <w:p w:rsidR="00B31C90" w:rsidRPr="00706A62" w:rsidRDefault="00B31C90" w:rsidP="00706A62"/>
    <w:sectPr w:rsidR="00B31C90" w:rsidRPr="00706A62" w:rsidSect="00F51D72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6E66" w:rsidRDefault="00C16E66" w:rsidP="00B61359">
      <w:pPr>
        <w:spacing w:before="0" w:after="0" w:line="240" w:lineRule="auto"/>
      </w:pPr>
      <w:r>
        <w:separator/>
      </w:r>
    </w:p>
  </w:endnote>
  <w:endnote w:type="continuationSeparator" w:id="0">
    <w:p w:rsidR="00C16E66" w:rsidRDefault="00C16E66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6E66" w:rsidRDefault="00C16E66" w:rsidP="00B61359">
      <w:pPr>
        <w:spacing w:before="0" w:after="0" w:line="240" w:lineRule="auto"/>
      </w:pPr>
      <w:r>
        <w:separator/>
      </w:r>
    </w:p>
  </w:footnote>
  <w:footnote w:type="continuationSeparator" w:id="0">
    <w:p w:rsidR="00C16E66" w:rsidRDefault="00C16E66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315772">
    <w:pPr>
      <w:pStyle w:val="En-tte"/>
    </w:pPr>
    <w:r>
      <w:t>04 Avril 2025</w:t>
    </w:r>
    <w:r w:rsidR="00B61359">
      <w:tab/>
    </w:r>
    <w:r w:rsidR="00CE16B4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20878"/>
    <w:rsid w:val="00092D65"/>
    <w:rsid w:val="00116659"/>
    <w:rsid w:val="002227D3"/>
    <w:rsid w:val="0028124B"/>
    <w:rsid w:val="002A514F"/>
    <w:rsid w:val="00315772"/>
    <w:rsid w:val="005442D8"/>
    <w:rsid w:val="005F5B1B"/>
    <w:rsid w:val="00605A45"/>
    <w:rsid w:val="00620B83"/>
    <w:rsid w:val="00706A62"/>
    <w:rsid w:val="00751959"/>
    <w:rsid w:val="00770A82"/>
    <w:rsid w:val="0086288B"/>
    <w:rsid w:val="008C1C0E"/>
    <w:rsid w:val="00911179"/>
    <w:rsid w:val="009B33FD"/>
    <w:rsid w:val="009E48A4"/>
    <w:rsid w:val="009F0590"/>
    <w:rsid w:val="00A15F22"/>
    <w:rsid w:val="00A44237"/>
    <w:rsid w:val="00AE717D"/>
    <w:rsid w:val="00B21008"/>
    <w:rsid w:val="00B31C90"/>
    <w:rsid w:val="00B61359"/>
    <w:rsid w:val="00B7070B"/>
    <w:rsid w:val="00BB5ED4"/>
    <w:rsid w:val="00BC4E12"/>
    <w:rsid w:val="00BD6877"/>
    <w:rsid w:val="00C16E66"/>
    <w:rsid w:val="00C67844"/>
    <w:rsid w:val="00CA7DEA"/>
    <w:rsid w:val="00CE16B4"/>
    <w:rsid w:val="00DD5C71"/>
    <w:rsid w:val="00E547BB"/>
    <w:rsid w:val="00F5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F2F5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25</TotalTime>
  <Pages>2</Pages>
  <Words>444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21</cp:revision>
  <dcterms:created xsi:type="dcterms:W3CDTF">2025-04-07T10:38:00Z</dcterms:created>
  <dcterms:modified xsi:type="dcterms:W3CDTF">2025-04-17T18:20:00Z</dcterms:modified>
</cp:coreProperties>
</file>