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lang w:val="en-US"/>
        </w:rPr>
        <w:t xml:space="preserve">Adénome ou hypertrophie bénigne de prostate </w:t>
      </w:r>
    </w:p>
    <w:bookmarkStart w:id="0" w:name="_GoBack"/>
    <w:bookmarkEnd w:id="0"/>
    <w:p>
      <w:pPr>
        <w:pStyle w:val="style1"/>
        <w:rPr/>
      </w:pPr>
      <w:r>
        <w:t xml:space="preserve">Introduction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Prostate : glande, nutrition sperme et éjaculation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HBP ou adénome de la prostate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Prolifération bénigne (partie centrale prostatique)</w:t>
      </w:r>
    </w:p>
    <w:p>
      <w:pPr>
        <w:pStyle w:val="style179"/>
        <w:numPr>
          <w:ilvl w:val="0"/>
          <w:numId w:val="0"/>
        </w:numPr>
        <w:ind w:left="1080" w:firstLine="0"/>
        <w:rPr>
          <w:lang w:val="fr-FR"/>
        </w:rPr>
      </w:pPr>
      <w:r>
        <w:rPr>
          <w:lang w:val="en-US"/>
        </w:rPr>
        <w:t xml:space="preserve">≠ Cancer en périphérie ou queue de la prostate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Hypertrophie : obstruction cervico-urétrale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Très fréquente chez l'homme plus de 50 ans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Tumeur organe sexuel à répercussions urinaire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Tumeur hormonodépendante (testostérone)</w:t>
      </w:r>
    </w:p>
    <w:p>
      <w:pPr>
        <w:pStyle w:val="style179"/>
        <w:numPr>
          <w:ilvl w:val="0"/>
          <w:numId w:val="2"/>
        </w:numPr>
        <w:jc w:val="center"/>
        <w:rPr>
          <w:lang w:val="fr-FR"/>
        </w:rPr>
      </w:pPr>
      <w:r>
        <w:rPr/>
        <w:drawing>
          <wp:inline distL="0" distT="0" distB="0" distR="0">
            <wp:extent cx="3048000" cy="315991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000" cy="315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"/>
        <w:rPr/>
      </w:pPr>
      <w:r>
        <w:t>Anatomie pathologique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Aspect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Poids 50 - 100g en moyenne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Bilobé ± lobe médian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Encapsulé : énucléation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Siège : zone de transition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Évolution anatomique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Compression sans envahissement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'' Œuf dans un coquetier "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Pas de parallélisme anatomo-clinique </w:t>
      </w:r>
    </w:p>
    <w:p>
      <w:pPr>
        <w:pStyle w:val="style1"/>
        <w:rPr/>
      </w:pPr>
      <w:r>
        <w:t xml:space="preserve">Épidémiologie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Fréquence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Prévalence augmente avec l'âge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8% à 30ans , 40% à 50ans, 80% à 80ans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Tous font une HBP s'ils vivent longtemps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Tendance vers aggravation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Une partie nécessite une acte chirurgicale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Facteurs favorisants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Testicules fonctionnels + âge suffisant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Facteurs non prouvés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Habitude alimentaire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Comportement sexuel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Tabac, ...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Race asiatique : facteur protecteur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Aucun lien entre HBP et cancer de la prostate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Les deux maladies peuvent coexister </w:t>
      </w:r>
    </w:p>
    <w:p>
      <w:pPr>
        <w:pStyle w:val="style1"/>
        <w:rPr/>
      </w:pPr>
      <w:r>
        <w:t xml:space="preserve">Physiopathologie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Glande hormonodépendante (testostérone)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Castration : agénésie , atrophie de la prostate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Administration hormone : reprise développement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De la naissance à la puberté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Augmentation volume &lt; 25g sous l'action de DHT (dihydrotestostérone)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Age adulte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Hypertrophie pour des raisons non connues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La miction normale  = bonne synergie entre les forces d'expulsion des urines (contraction vésicale) et de rétention (sphincter)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L'adénome de prostate entraîne des modifications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Anatomique (compression)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Urodynamique du bas fond vésical (rétention)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 de l'urètre (étranglement)</w:t>
      </w:r>
    </w:p>
    <w:p>
      <w:pPr>
        <w:pStyle w:val="style179"/>
        <w:numPr>
          <w:ilvl w:val="0"/>
          <w:numId w:val="0"/>
        </w:numPr>
        <w:ind w:left="780" w:firstLine="0"/>
        <w:rPr>
          <w:lang w:val="fr-FR"/>
        </w:rPr>
      </w:pPr>
      <w:r>
        <w:rPr>
          <w:lang w:val="en-US"/>
        </w:rPr>
        <w:t>➡️ Perturbation de la miction (dyssynergie)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Hypertrophie en périphérie : asymptomatique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Vers vessie : signe irritatif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Vers urètre : signe obstructif</w:t>
      </w:r>
    </w:p>
    <w:p>
      <w:pPr>
        <w:pStyle w:val="style179"/>
        <w:numPr>
          <w:ilvl w:val="0"/>
          <w:numId w:val="0"/>
        </w:numPr>
        <w:ind w:left="780" w:firstLine="0"/>
        <w:rPr>
          <w:lang w:val="fr-FR"/>
        </w:rPr>
      </w:pPr>
      <w:r>
        <w:rPr>
          <w:lang w:val="en-US"/>
        </w:rPr>
        <w:t xml:space="preserve">➡️ Retentissement vésical  - retentissement rénal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Causes des accidents rétentionnels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Voyage assis prolongé, congestion pelvis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Médicaments : atropine, ephédrine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Absorption d'alcool, infection urinaire, ....</w:t>
      </w:r>
    </w:p>
    <w:p>
      <w:pPr>
        <w:pStyle w:val="style1"/>
        <w:rPr/>
      </w:pPr>
      <w:r>
        <w:t xml:space="preserve">Diagnostic </w:t>
      </w:r>
    </w:p>
    <w:p>
      <w:pPr>
        <w:pStyle w:val="style2"/>
        <w:rPr/>
      </w:pPr>
      <w:r>
        <w:t xml:space="preserve">Diagnostic positif </w:t>
      </w:r>
    </w:p>
    <w:p>
      <w:pPr>
        <w:pStyle w:val="style3"/>
        <w:rPr/>
      </w:pPr>
      <w:r>
        <w:t xml:space="preserve">Interrogatoire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Élément fondamental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Les ATCD et les traitements suivis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Les complications éventuelles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Les éléments de gravité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Trouble mictionnel (prostatisme❌) : SBAU +++ (syndrome du bas appareil urinaire)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irritatif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Résidu post-mictionnel ??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Irritation par prostate volumineuse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Pollakiurie nocturne de plus en plus fréquente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Pollakiurie diurne de plus en plus importante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Envie répétée et impérieuse d'uriner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Fuite urinaire par besoin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Hématurie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Signe obstructif (obstacle d'évacuation)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Dysurie d'attente : retard d'apparition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Dysurie de poussée : faiblesse du jet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Pisser sur ses bottes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Miction allongée, interrompue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Goutte retardataire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Rétention : mauvaise vidange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Aiguë : brutale et totale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Chronique : miction par regorgement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Signe d'inflammation pelvienne ( </w:t>
      </w:r>
      <w:r>
        <w:rPr>
          <w:u w:val="single"/>
          <w:lang w:val="en-US"/>
        </w:rPr>
        <w:t>+</w:t>
      </w:r>
      <w:r>
        <w:rPr>
          <w:u w:val="none"/>
          <w:lang w:val="en-US"/>
        </w:rPr>
        <w:t xml:space="preserve"> 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Brûlure urétrale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Périnéalgie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Pesanteurs pelviennes</w:t>
      </w:r>
    </w:p>
    <w:p>
      <w:pPr>
        <w:pStyle w:val="style3"/>
        <w:rPr/>
      </w:pPr>
      <w:r>
        <w:t>Examen physique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Étude de la miction : force du jet, effort, durée, volume, couleur des urines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Toucher rectal : prostate augmenté, indolore, régulière, lisse et souple ''balle de tennis''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Si normal diagnostic non écarté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Élimine cancer et prostatite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Examen général : globe vésical (retention d'urine), gros rein distendu (hydronéphrose), hernie de faiblesse, autres appareils </w:t>
      </w:r>
    </w:p>
    <w:p>
      <w:pPr>
        <w:numPr>
          <w:ilvl w:val="0"/>
          <w:numId w:val="0"/>
        </w:numPr>
        <w:rPr>
          <w:lang w:val="fr-FR"/>
        </w:rPr>
      </w:pPr>
      <w:r>
        <w:rPr>
          <w:lang w:val="en-US"/>
        </w:rPr>
        <w:t xml:space="preserve">              </w:t>
      </w:r>
      <w:r>
        <w:rPr/>
        <w:drawing>
          <wp:inline distL="114300" distT="0" distB="0" distR="114300">
            <wp:extent cx="5220093" cy="2897498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0093" cy="289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3"/>
        <w:rPr/>
      </w:pPr>
      <w:r>
        <w:t>Examen</w:t>
      </w:r>
      <w:r>
        <w:rPr>
          <w:lang w:val="en-US"/>
        </w:rPr>
        <w:t>s</w:t>
      </w:r>
      <w:r>
        <w:t xml:space="preserve"> complémentaire</w:t>
      </w:r>
      <w:r>
        <w:rPr>
          <w:lang w:val="en-US"/>
        </w:rPr>
        <w:t>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Biologie : standard, PSA (pour éliminer cancer de la prostate), ECBU (stade = infection)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Échographie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Sus-pubienne : prostate, résidu, reins ...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Endorectale : précision d'image, biopsie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Débitmétrie urinaire : débit maximal, temps de miction, volume mictionnel, aspect de la courbe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Urétrocystoscopie : obstruction par prostate, lésion vésicale associée (signe irritatif +++)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UIV, cystographie : emprunte prostatique, calcul, diverticules, hydronéphrose </w:t>
      </w:r>
    </w:p>
    <w:p>
      <w:pPr>
        <w:pStyle w:val="style2"/>
        <w:rPr/>
      </w:pPr>
      <w:r>
        <w:t xml:space="preserve">Diagnostic différentiel </w:t>
      </w:r>
    </w:p>
    <w:p>
      <w:pPr>
        <w:pStyle w:val="style3"/>
        <w:rPr/>
      </w:pPr>
      <w:r>
        <w:t>Signe obstructif et grosse prostate au TR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Prostatite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Tableau adénome, signe infectieux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Prostate augmenté, douloureuse, succulente, ramollie avec nodule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Cancer prostate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Tableau adénome, PSA augmenté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Prostate dure, nodule, pierreuse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Biopsie +++</w:t>
      </w:r>
    </w:p>
    <w:p>
      <w:pPr>
        <w:pStyle w:val="style3"/>
        <w:rPr/>
      </w:pPr>
      <w:r>
        <w:t>Signe obstructif et TR normal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Maladie du col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Sclérose col vésical, jeune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Tableau d'adénome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Sténose urétrale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ATCD infectieux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Traumatisme urétral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UCRM</w:t>
      </w:r>
    </w:p>
    <w:p>
      <w:pPr>
        <w:pStyle w:val="style3"/>
        <w:rPr/>
      </w:pPr>
      <w:r>
        <w:t xml:space="preserve">Signe irritatif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Tumeur vésicale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Hématurie, cytologie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Cystoscopie et biopsie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Infection urinaire : ECBU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Maladies neurologiques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Sans obstruction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Sujet jeune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Trouble éjaculation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Dysfonction érectile (anciennement appelé impuissance)</w:t>
      </w:r>
    </w:p>
    <w:p>
      <w:pPr>
        <w:pStyle w:val="style2"/>
        <w:rPr/>
      </w:pPr>
      <w:r>
        <w:t xml:space="preserve">Évolution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Cas asymptomatique : longtemps stationnaire ➡️ rare, ou trouble mineur bien supporté </w:t>
      </w:r>
    </w:p>
    <w:p>
      <w:pPr>
        <w:pStyle w:val="style179"/>
        <w:numPr>
          <w:ilvl w:val="0"/>
          <w:numId w:val="2"/>
        </w:numPr>
        <w:rPr/>
      </w:pPr>
      <w:r>
        <w:rPr>
          <w:lang w:val="en-US"/>
        </w:rPr>
        <w:t xml:space="preserve">HBP : amélioration sous traitement ➡️ fréquemment </w:t>
      </w:r>
    </w:p>
    <w:p>
      <w:pPr>
        <w:pStyle w:val="style179"/>
        <w:numPr>
          <w:ilvl w:val="0"/>
          <w:numId w:val="2"/>
        </w:numPr>
        <w:rPr/>
      </w:pPr>
      <w:r>
        <w:t xml:space="preserve">Complication mécanique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Rétention aiguë d'urine peut être inaugurale </w:t>
      </w:r>
    </w:p>
    <w:p>
      <w:pPr>
        <w:pStyle w:val="style179"/>
        <w:numPr>
          <w:ilvl w:val="0"/>
          <w:numId w:val="0"/>
        </w:numPr>
        <w:ind w:left="1500" w:firstLine="0"/>
        <w:rPr>
          <w:lang w:val="fr-FR"/>
        </w:rPr>
      </w:pPr>
      <w:r>
        <w:rPr>
          <w:lang w:val="en-US"/>
        </w:rPr>
        <w:t xml:space="preserve">➡️ </w:t>
      </w:r>
      <w:r>
        <w:rPr>
          <w:b/>
          <w:bCs/>
          <w:lang w:val="en-US"/>
        </w:rPr>
        <w:t xml:space="preserve">Urgence car pisser ou mourir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Diverticule : faiblesse paroi vésical ➡️ vessie de lutte, persistant même après traitement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Calcul : stase et infection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Hématurie : rupture veines périprostatiques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Urétérohydronéphrose : distension des voies urinaires hautes </w:t>
      </w:r>
    </w:p>
    <w:p>
      <w:pPr>
        <w:pStyle w:val="style179"/>
        <w:numPr>
          <w:ilvl w:val="0"/>
          <w:numId w:val="0"/>
        </w:numPr>
        <w:ind w:left="1500" w:firstLine="0"/>
        <w:rPr>
          <w:lang w:val="fr-FR"/>
        </w:rPr>
      </w:pPr>
      <w:r>
        <w:rPr>
          <w:lang w:val="en-US"/>
        </w:rPr>
        <w:t>➡️</w:t>
      </w:r>
      <w:r>
        <w:rPr>
          <w:b/>
          <w:bCs/>
          <w:lang w:val="en-US"/>
        </w:rPr>
        <w:t xml:space="preserve"> Insuffisance rénale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Hernie inguinale de faiblesse souvent abdominale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Prolapsus rectal et hémorroïdaire dues aux poussées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Complication infectieuse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Prostatite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Adénomite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Orchite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Infection urinaire (basses ➡️ pyélonéphrites)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Septicémie </w:t>
      </w:r>
    </w:p>
    <w:p>
      <w:pPr>
        <w:pStyle w:val="style179"/>
        <w:numPr>
          <w:ilvl w:val="0"/>
          <w:numId w:val="0"/>
        </w:numPr>
        <w:ind w:left="900" w:leftChars="0" w:firstLine="0"/>
        <w:rPr>
          <w:lang w:val="fr-FR"/>
        </w:rPr>
      </w:pPr>
      <w:r>
        <w:rPr>
          <w:lang w:val="en-US"/>
        </w:rPr>
        <w:t xml:space="preserve">➡️ Urgence thérapeutique </w:t>
      </w:r>
    </w:p>
    <w:p>
      <w:pPr>
        <w:pStyle w:val="style1"/>
        <w:rPr/>
      </w:pPr>
      <w:r>
        <w:t xml:space="preserve">Traitement </w:t>
      </w:r>
    </w:p>
    <w:p>
      <w:pPr>
        <w:pStyle w:val="style2"/>
        <w:rPr/>
      </w:pPr>
      <w:r>
        <w:t>Buts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Réduire gêne et symptômes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Diminuer obstruction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Enlever adénome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Traiter complications </w:t>
      </w:r>
    </w:p>
    <w:p>
      <w:pPr>
        <w:pStyle w:val="style2"/>
        <w:rPr/>
      </w:pPr>
      <w:r>
        <w:t>Moyens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Surveillance et conseil hygiénodiététique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Médicament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Phytothérapie : serenoa repens (Permixon 160), pygeum africanum (Tadenan 50)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Inhibiteurs 5-alpha-réductase : Finastéride (Chibro-proscar 5)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Alpha-bloqueur : Alfuzosine (Xatral LP 10 ou 5)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Association inhibiteurs 5-alpha-réductase et alpha-bloqueur (Dutasun plus)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Chirurgie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Endoscopique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Résection endoscopique : TURP (réséction transurétroprostatique)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Incision cervicoprostatique, HOLEP (par laser)...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Chirurgie ouverte : adénommectomie par voie haute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Transvésicale de Freyer (énucléation ) ou Hrintschak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Rétropubienne de Millin</w:t>
      </w:r>
    </w:p>
    <w:p>
      <w:pPr>
        <w:pStyle w:val="style2"/>
        <w:rPr/>
      </w:pPr>
      <w:r>
        <w:t xml:space="preserve">Indications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Tenir compte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Age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État général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Gêne et qualité de vie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Effets secondaires du traitement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Possibilité financière et choix du patient +++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HBP sans gêne : surveillance, hygiène de vie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HBP gêne modérée : traitement médicamenteux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HBP gêne +++, compliquée, réponse médicale ???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 xml:space="preserve">Traitement chirurgical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 xml:space="preserve">≤ 30g : incision cervicoprostatique 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Plus de 30g : TURP</w:t>
      </w:r>
    </w:p>
    <w:p>
      <w:pPr>
        <w:pStyle w:val="style179"/>
        <w:numPr>
          <w:ilvl w:val="2"/>
          <w:numId w:val="2"/>
        </w:numPr>
        <w:rPr>
          <w:lang w:val="fr-FR"/>
        </w:rPr>
      </w:pPr>
      <w:r>
        <w:rPr>
          <w:lang w:val="en-US"/>
        </w:rPr>
        <w:t>Si volumineuse : chirurgie ouverte</w:t>
      </w:r>
    </w:p>
    <w:p>
      <w:pPr>
        <w:pStyle w:val="style2"/>
        <w:rPr/>
      </w:pPr>
      <w:r>
        <w:t xml:space="preserve">Résultats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 xml:space="preserve">Médicament 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Amélioration signes urinaires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Continu ou non et effets indésirables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Chirurgie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Référence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Complications post-opératoires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Récidive (noyau oublié..)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Éjaculation rétrograde +++</w:t>
      </w:r>
    </w:p>
    <w:p>
      <w:pPr>
        <w:pStyle w:val="style2"/>
        <w:rPr/>
      </w:pPr>
      <w:r>
        <w:t xml:space="preserve">Surveillance 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Réponse au traitement médicamenteux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Amélioration gêne : miction, débimétrie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Et éjaculation précoce : gynécomastie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Traitement chirurgical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Caillotage: lavage / syndrome de résorption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Drains /sonde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Dysurie : sténose loge , récidive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Cancer sur la coque : TR - PSA</w:t>
      </w:r>
    </w:p>
    <w:p>
      <w:pPr>
        <w:pStyle w:val="style1"/>
        <w:rPr/>
      </w:pPr>
      <w:r>
        <w:t>Conclusion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Tumeur bénigne fréquente de la prostate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Traduction clinique et évolution variables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Obstacle à l'évacuation vésicale</w:t>
      </w:r>
    </w:p>
    <w:p>
      <w:pPr>
        <w:pStyle w:val="style179"/>
        <w:numPr>
          <w:ilvl w:val="0"/>
          <w:numId w:val="2"/>
        </w:numPr>
        <w:rPr>
          <w:lang w:val="fr-FR"/>
        </w:rPr>
      </w:pPr>
      <w:r>
        <w:rPr>
          <w:lang w:val="en-US"/>
        </w:rPr>
        <w:t>Bonne prise en charge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Sinon: rétentissement rénal bilatéral</w:t>
      </w:r>
    </w:p>
    <w:p>
      <w:pPr>
        <w:pStyle w:val="style179"/>
        <w:numPr>
          <w:ilvl w:val="1"/>
          <w:numId w:val="2"/>
        </w:numPr>
        <w:rPr>
          <w:lang w:val="fr-FR"/>
        </w:rPr>
      </w:pPr>
      <w:r>
        <w:rPr>
          <w:lang w:val="en-US"/>
        </w:rPr>
        <w:t>Association possible avec un cancer</w:t>
      </w:r>
    </w:p>
    <w:p>
      <w:pPr>
        <w:pStyle w:val="style179"/>
        <w:numPr>
          <w:ilvl w:val="0"/>
          <w:numId w:val="0"/>
        </w:numPr>
        <w:ind w:left="780" w:firstLine="0"/>
        <w:rPr>
          <w:lang w:val="fr-FR"/>
        </w:rPr>
      </w:pPr>
      <w:r>
        <w:rPr>
          <w:lang w:val="en-US"/>
        </w:rPr>
        <w:t>➡️ Histologie pièce opératoire</w:t>
      </w:r>
    </w:p>
    <w:sectPr>
      <w:headerReference w:type="default" r:id="rId4"/>
      <w:footerReference w:type="default" r:id="rId5"/>
      <w:pgSz w:w="11906" w:h="16838" w:orient="portrait"/>
      <w:pgMar w:top="284" w:right="851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lang w:val="fr-FR"/>
      </w:rPr>
    </w:pPr>
    <w:r>
      <w:rPr>
        <w:noProof/>
        <w:color w:val="808080"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margin">
                <wp:align>right</wp:align>
              </wp:positionH>
              <wp:positionV relativeFrom="bottomMargin">
                <wp14:pctPosVOffset>20000</wp14:pctPosVOffset>
              </wp:positionV>
              <wp:extent cx="5943600" cy="320040"/>
              <wp:effectExtent l="0" t="0" r="0" b="3810"/>
              <wp:wrapSquare wrapText="bothSides"/>
              <wp:docPr id="4097" name="Groupe 3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SpPr/>
                      <wps:spPr>
                        <a:xfrm rot="0">
                          <a:off x="19050" y="0"/>
                          <a:ext cx="5943600" cy="18826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  <wps:wsp>
                      <wps:cNvSpPr/>
                      <wps:spPr>
                        <a:xfrm rot="0">
                          <a:off x="0" y="66676"/>
                          <a:ext cx="5943599" cy="257175"/>
                        </a:xfrm>
                        <a:prstGeom prst="rect"/>
                        <a:ln>
                          <a:noFill/>
                        </a:ln>
                      </wps:spPr>
                      <wps:txbx id="4099">
                        <w:txbxContent>
                          <w:p>
                            <w:pPr>
                              <w:pStyle w:val="style0"/>
                              <w:jc w:val="right"/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7f7f7f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lIns="91440" rIns="91440" tIns="45720" bIns="0" vert="horz" anchor="b" wrap="square">
                        <a:prstTxWarp prst="textNoShape"/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4097" filled="f" stroked="f" style="position:absolute;margin-left:0.0pt;margin-top:0.0pt;width:468.0pt;height:25.2pt;z-index:3;mso-top-percent:200;mso-position-horizontal:right;mso-position-horizontal-relative:margin;mso-position-vertical-relative:bottom-margin-area;mso-width-percent:1000;mso-height-percent:0;mso-width-relative:margin;mso-height-relative:margin;mso-wrap-distance-left:0.0pt;mso-wrap-distance-right:0.0pt;visibility:visible;" coordsize="5962650,323851">
              <v:rect id="4098" fillcolor="black" stroked="f" style="position:absolute;left:19050;top:0;width:5943600;height:18826;z-index:2;mso-position-horizontal-relative:page;mso-position-vertical-relative:page;mso-width-relative:page;mso-height-relative:page;visibility:visible;">
                <v:stroke on="f"/>
                <v:fill/>
              </v:rect>
              <v:rect id="4099" filled="f" stroked="f" style="position:absolute;left:0;top:66676;width:5943599;height:257175;z-index:3;mso-position-horizontal-relative:page;mso-position-vertical-relative:page;mso-width-relative:page;mso-height-relative:page;visibility:visible;v-text-anchor:bottom;">
                <v:stroke on="f"/>
                <v:fill/>
                <v:textbox inset="7.2pt,3.6pt,7.2pt,0.0pt">
                  <w:txbxContent>
                    <w:p>
                      <w:pPr>
                        <w:pStyle w:val="style0"/>
                        <w:jc w:val="right"/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</w:pPr>
                      <w:r>
                        <w:rPr>
                          <w:rFonts w:cs="Times New Roman"/>
                          <w:b/>
                          <w:color w:val="7f7f7f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rect>
              <w10:wrap type="square"/>
              <v:fill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rightMargin">
                <wp:align>left</wp:align>
              </wp:positionH>
              <wp:positionV relativeFrom="bottomMargin">
                <wp14:pctPosVOffset>20000</wp14:pctPosVOffset>
              </wp:positionV>
              <wp:extent cx="457200" cy="320040"/>
              <wp:effectExtent l="0" t="0" r="0" b="3810"/>
              <wp:wrapSquare wrapText="bothSides"/>
              <wp:docPr id="4100" name="Rectangle 40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57200" cy="320040"/>
                      </a:xfrm>
                      <a:prstGeom prst="rect"/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</w:rPr>
                            <w:instrText>PAGE   \* MERGEFORMAT</w:instrText>
                          </w:r>
                          <w:r>
                            <w:rPr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lang w:val="fr-FR"/>
                            </w:rPr>
                            <w:t>2</w:t>
                          </w:r>
                          <w:r>
                            <w:rPr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lIns="91440" rIns="91440" tIns="45720" bIns="45720" vert="horz" anchor="b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100" fillcolor="black" stroked="f" style="position:absolute;margin-left:0.0pt;margin-top:0.0pt;width:36.0pt;height:25.2pt;z-index:2;mso-top-percent:200;mso-position-horizontal:left;mso-position-horizontal-relative:right-margin-area;mso-position-vertical-relative:bottom-margin-area;mso-width-percent:0;mso-height-percent:0;mso-width-relative:margin;mso-height-relative:margin;mso-wrap-distance-left:0.0pt;mso-wrap-distance-right:0.0pt;visibility:visible;v-text-anchor:bottom;">
              <v:stroke on="f"/>
              <w10:wrap type="square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fldChar w:fldCharType="begin"/>
                    </w:r>
                    <w:r>
                      <w:rPr>
                        <w:color w:val="ffffff"/>
                      </w:rPr>
                      <w:instrText>PAGE   \* MERGEFORMAT</w:instrText>
                    </w:r>
                    <w:r>
                      <w:rPr>
                        <w:color w:val="ffffff"/>
                      </w:rPr>
                      <w:fldChar w:fldCharType="separate"/>
                    </w:r>
                    <w:r>
                      <w:rPr>
                        <w:color w:val="ffffff"/>
                        <w:lang w:val="fr-FR"/>
                      </w:rPr>
                      <w:t>2</w:t>
                    </w:r>
                    <w:r>
                      <w:rPr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  <w:color w:val="808080"/>
        <w:lang w:val="fr-FR"/>
      </w:rPr>
    </w:pPr>
    <w:r>
      <w:rPr>
        <w:b/>
        <w:noProof/>
        <w:color w:val="808080"/>
        <w:lang w:val="en-US"/>
      </w:rPr>
      <w:t xml:space="preserve">Néphro-urologie du 22 Juillet </w:t>
    </w:r>
    <w:r>
      <w:rPr>
        <w:b/>
        <w:noProof/>
        <w:color w:val="8080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BE44F76"/>
    <w:lvl w:ilvl="0">
      <w:start w:val="1"/>
      <w:numFmt w:val="upperRoman"/>
      <w:pStyle w:val="style1"/>
      <w:lvlText w:val="%1."/>
      <w:lvlJc w:val="right"/>
      <w:pPr>
        <w:ind w:left="360" w:hanging="360"/>
      </w:pPr>
    </w:lvl>
    <w:lvl w:ilvl="1">
      <w:start w:val="1"/>
      <w:numFmt w:val="decimal"/>
      <w:pStyle w:val="style2"/>
      <w:lvlText w:val="%1.%2"/>
      <w:lvlJc w:val="left"/>
      <w:pPr>
        <w:ind w:left="576" w:hanging="576"/>
      </w:pPr>
    </w:lvl>
    <w:lvl w:ilvl="2">
      <w:start w:val="1"/>
      <w:numFmt w:val="decimal"/>
      <w:pStyle w:val="style3"/>
      <w:lvlText w:val="%1.%2.%3"/>
      <w:lvlJc w:val="left"/>
      <w:pPr>
        <w:ind w:left="720" w:hanging="720"/>
      </w:pPr>
    </w:lvl>
    <w:lvl w:ilvl="3">
      <w:start w:val="1"/>
      <w:numFmt w:val="decimal"/>
      <w:pStyle w:val="style4"/>
      <w:lvlText w:val="%1.%2.%3.%4"/>
      <w:lvlJc w:val="left"/>
      <w:pPr>
        <w:ind w:left="864" w:hanging="864"/>
      </w:pPr>
    </w:lvl>
    <w:lvl w:ilvl="4">
      <w:start w:val="1"/>
      <w:numFmt w:val="decimal"/>
      <w:pStyle w:val="style5"/>
      <w:lvlText w:val="%1.%2.%3.%4.%5"/>
      <w:lvlJc w:val="left"/>
      <w:pPr>
        <w:ind w:left="1008" w:hanging="1008"/>
      </w:pPr>
    </w:lvl>
    <w:lvl w:ilvl="5">
      <w:start w:val="1"/>
      <w:numFmt w:val="decimal"/>
      <w:pStyle w:val="style6"/>
      <w:lvlText w:val="%1.%2.%3.%4.%5.%6"/>
      <w:lvlJc w:val="left"/>
      <w:pPr>
        <w:ind w:left="1152" w:hanging="1152"/>
      </w:pPr>
    </w:lvl>
    <w:lvl w:ilvl="6">
      <w:start w:val="1"/>
      <w:numFmt w:val="decimal"/>
      <w:pStyle w:val="styl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styl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style9"/>
      <w:lvlText w:val="%1.%2.%3.%4.%5.%6.%7.%8.%9"/>
      <w:lvlJc w:val="left"/>
      <w:pPr>
        <w:ind w:left="1584" w:hanging="1584"/>
      </w:pPr>
    </w:lvl>
  </w:abstractNum>
  <w:abstractNum w:abstractNumId="1">
    <w:nsid w:val="00000001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78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2000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numPr>
        <w:ilvl w:val="0"/>
        <w:numId w:val="1"/>
      </w:numPr>
      <w:spacing w:before="240"/>
      <w:outlineLvl w:val="0"/>
    </w:pPr>
    <w:rPr>
      <w:rFonts w:cs="宋体" w:eastAsia="宋体"/>
      <w:b/>
      <w:smallCaps/>
      <w:color w:val="800000"/>
      <w:sz w:val="32"/>
      <w:szCs w:val="32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numPr>
        <w:ilvl w:val="1"/>
        <w:numId w:val="1"/>
      </w:numPr>
      <w:spacing w:before="40"/>
      <w:outlineLvl w:val="1"/>
    </w:pPr>
    <w:rPr>
      <w:rFonts w:cs="宋体" w:eastAsia="宋体"/>
      <w:b/>
      <w:smallCaps/>
      <w:color w:val="008000"/>
      <w:sz w:val="28"/>
      <w:szCs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numPr>
        <w:ilvl w:val="2"/>
        <w:numId w:val="1"/>
      </w:numPr>
      <w:spacing w:before="40"/>
      <w:outlineLvl w:val="2"/>
    </w:pPr>
    <w:rPr>
      <w:rFonts w:cs="宋体" w:eastAsia="宋体"/>
      <w:b/>
      <w:color w:val="002060"/>
      <w:sz w:val="26"/>
      <w:szCs w:val="24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numPr>
        <w:ilvl w:val="3"/>
        <w:numId w:val="1"/>
      </w:numPr>
      <w:spacing w:before="40"/>
      <w:outlineLvl w:val="3"/>
    </w:pPr>
    <w:rPr>
      <w:rFonts w:cs="宋体" w:eastAsia="宋体"/>
      <w:b/>
      <w:iCs/>
      <w:color w:val="c00000"/>
      <w:sz w:val="24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cs="宋体" w:eastAsia="宋体"/>
      <w:b/>
      <w:color w:val="660066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="宋体" w:eastAsia="宋体"/>
      <w:b/>
      <w:sz w:val="24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="Cambria" w:cs="宋体" w:eastAsia="宋体" w:hAnsi="Cambria"/>
      <w:i/>
      <w:iCs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="Cambria" w:cs="宋体" w:eastAsia="宋体" w:hAnsi="Cambria"/>
      <w:color w:val="262626"/>
      <w:sz w:val="21"/>
      <w:szCs w:val="21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="Cambria" w:cs="宋体" w:eastAsia="宋体" w:hAnsi="Cambria"/>
      <w:i/>
      <w:iCs/>
      <w:color w:val="262626"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basedOn w:val="style65"/>
    <w:next w:val="style4097"/>
    <w:link w:val="style1"/>
    <w:uiPriority w:val="9"/>
    <w:rPr>
      <w:rFonts w:ascii="Times New Roman" w:cs="宋体" w:eastAsia="宋体" w:hAnsi="Times New Roman"/>
      <w:b/>
      <w:smallCaps/>
      <w:color w:val="800000"/>
      <w:sz w:val="32"/>
      <w:szCs w:val="32"/>
    </w:rPr>
  </w:style>
  <w:style w:type="character" w:customStyle="1" w:styleId="style4098">
    <w:name w:val="Titre 2 Car"/>
    <w:basedOn w:val="style65"/>
    <w:next w:val="style4098"/>
    <w:link w:val="style2"/>
    <w:uiPriority w:val="9"/>
    <w:rPr>
      <w:rFonts w:ascii="Times New Roman" w:cs="宋体" w:eastAsia="宋体" w:hAnsi="Times New Roman"/>
      <w:b/>
      <w:smallCaps/>
      <w:color w:val="008000"/>
      <w:sz w:val="28"/>
      <w:szCs w:val="28"/>
    </w:rPr>
  </w:style>
  <w:style w:type="character" w:customStyle="1" w:styleId="style4099">
    <w:name w:val="Titre 3 Car"/>
    <w:basedOn w:val="style65"/>
    <w:next w:val="style4099"/>
    <w:link w:val="style3"/>
    <w:uiPriority w:val="9"/>
    <w:rPr>
      <w:rFonts w:ascii="Times New Roman" w:cs="宋体" w:eastAsia="宋体" w:hAnsi="Times New Roman"/>
      <w:b/>
      <w:color w:val="002060"/>
      <w:sz w:val="26"/>
      <w:szCs w:val="24"/>
    </w:rPr>
  </w:style>
  <w:style w:type="character" w:customStyle="1" w:styleId="style4100">
    <w:name w:val="Titre 4 Car"/>
    <w:basedOn w:val="style65"/>
    <w:next w:val="style4100"/>
    <w:link w:val="style4"/>
    <w:uiPriority w:val="9"/>
    <w:rPr>
      <w:rFonts w:ascii="Times New Roman" w:cs="宋体" w:eastAsia="宋体" w:hAnsi="Times New Roman"/>
      <w:b/>
      <w:iCs/>
      <w:color w:val="c00000"/>
      <w:sz w:val="24"/>
    </w:rPr>
  </w:style>
  <w:style w:type="character" w:customStyle="1" w:styleId="style4101">
    <w:name w:val="Titre 5 Car"/>
    <w:basedOn w:val="style65"/>
    <w:next w:val="style4101"/>
    <w:link w:val="style5"/>
    <w:uiPriority w:val="9"/>
    <w:rPr>
      <w:rFonts w:ascii="Times New Roman" w:cs="宋体" w:eastAsia="宋体" w:hAnsi="Times New Roman"/>
      <w:b/>
      <w:color w:val="660066"/>
      <w:sz w:val="24"/>
    </w:rPr>
  </w:style>
  <w:style w:type="character" w:customStyle="1" w:styleId="style4102">
    <w:name w:val="Titre 6 Car"/>
    <w:basedOn w:val="style65"/>
    <w:next w:val="style4102"/>
    <w:link w:val="style6"/>
    <w:uiPriority w:val="9"/>
    <w:rPr>
      <w:rFonts w:ascii="Times New Roman" w:cs="宋体" w:eastAsia="宋体" w:hAnsi="Times New Roman"/>
      <w:b/>
      <w:sz w:val="24"/>
    </w:rPr>
  </w:style>
  <w:style w:type="character" w:customStyle="1" w:styleId="style4103">
    <w:name w:val="Titre 7 Car"/>
    <w:basedOn w:val="style65"/>
    <w:next w:val="style4103"/>
    <w:link w:val="style7"/>
    <w:uiPriority w:val="9"/>
    <w:rPr>
      <w:rFonts w:ascii="Cambria" w:cs="宋体" w:eastAsia="宋体" w:hAnsi="Cambria"/>
      <w:i/>
      <w:iCs/>
    </w:rPr>
  </w:style>
  <w:style w:type="character" w:customStyle="1" w:styleId="style4104">
    <w:name w:val="Titre 8 Car"/>
    <w:basedOn w:val="style65"/>
    <w:next w:val="style4104"/>
    <w:link w:val="style8"/>
    <w:uiPriority w:val="9"/>
    <w:rPr>
      <w:rFonts w:ascii="Cambria" w:cs="宋体" w:eastAsia="宋体" w:hAnsi="Cambria"/>
      <w:color w:val="262626"/>
      <w:sz w:val="21"/>
      <w:szCs w:val="21"/>
    </w:rPr>
  </w:style>
  <w:style w:type="character" w:customStyle="1" w:styleId="style4105">
    <w:name w:val="Titre 9 Car"/>
    <w:basedOn w:val="style65"/>
    <w:next w:val="style4105"/>
    <w:link w:val="style9"/>
    <w:uiPriority w:val="9"/>
    <w:rPr>
      <w:rFonts w:ascii="Cambria" w:cs="宋体" w:eastAsia="宋体" w:hAnsi="Cambria"/>
      <w:i/>
      <w:iCs/>
      <w:color w:val="262626"/>
      <w:sz w:val="21"/>
      <w:szCs w:val="21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1f497d"/>
      <w:sz w:val="18"/>
      <w:szCs w:val="18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lineRule="auto" w:line="240"/>
      <w:jc w:val="center"/>
      <w:contextualSpacing/>
    </w:pPr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character" w:customStyle="1" w:styleId="style4106">
    <w:name w:val="Titre Car"/>
    <w:basedOn w:val="style65"/>
    <w:next w:val="style4106"/>
    <w:link w:val="style62"/>
    <w:uiPriority w:val="10"/>
    <w:rPr>
      <w:rFonts w:ascii="Cambria" w:cs="宋体" w:eastAsia="宋体" w:hAnsi="Cambria"/>
      <w:color w:val="002060"/>
      <w:spacing w:val="-10"/>
      <w:sz w:val="48"/>
      <w:szCs w:val="56"/>
      <w:lang w:val="fr-FR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ascii="Calibri" w:hAnsi="Calibri"/>
      <w:color w:val="5a5a5a"/>
      <w:spacing w:val="15"/>
    </w:rPr>
  </w:style>
  <w:style w:type="character" w:customStyle="1" w:styleId="style4107">
    <w:name w:val="Sous-titre Car"/>
    <w:basedOn w:val="style65"/>
    <w:next w:val="style4107"/>
    <w:link w:val="style74"/>
    <w:uiPriority w:val="11"/>
    <w:rPr>
      <w:color w:val="5a5a5a"/>
      <w:spacing w:val="15"/>
    </w:rPr>
  </w:style>
  <w:style w:type="character" w:styleId="style87">
    <w:name w:val="Strong"/>
    <w:basedOn w:val="style65"/>
    <w:next w:val="style87"/>
    <w:qFormat/>
    <w:uiPriority w:val="22"/>
    <w:rPr>
      <w:b/>
      <w:bCs/>
      <w:color w:val="auto"/>
    </w:rPr>
  </w:style>
  <w:style w:type="character" w:styleId="style88">
    <w:name w:val="Emphasis"/>
    <w:basedOn w:val="style65"/>
    <w:next w:val="style88"/>
    <w:qFormat/>
    <w:uiPriority w:val="20"/>
    <w:rPr>
      <w:i/>
      <w:iCs/>
      <w:color w:val="auto"/>
    </w:rPr>
  </w:style>
  <w:style w:type="paragraph" w:styleId="style157">
    <w:name w:val="No Spacing"/>
    <w:next w:val="style157"/>
    <w:link w:val="style4110"/>
    <w:qFormat/>
    <w:uiPriority w:val="1"/>
    <w:pPr>
      <w:spacing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80">
    <w:name w:val="Quote"/>
    <w:basedOn w:val="style0"/>
    <w:next w:val="style0"/>
    <w:link w:val="style4108"/>
    <w:qFormat/>
    <w:uiPriority w:val="29"/>
    <w:pPr>
      <w:spacing w:before="200"/>
      <w:ind w:left="864" w:right="864"/>
    </w:pPr>
    <w:rPr>
      <w:rFonts w:ascii="Calibri" w:hAnsi="Calibri"/>
      <w:i/>
      <w:iCs/>
      <w:color w:val="404040"/>
    </w:rPr>
  </w:style>
  <w:style w:type="character" w:customStyle="1" w:styleId="style4108">
    <w:name w:val="Citation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hAnsi="Calibri"/>
      <w:i/>
      <w:iCs/>
      <w:color w:val="404040"/>
    </w:rPr>
  </w:style>
  <w:style w:type="character" w:customStyle="1" w:styleId="style4109">
    <w:name w:val="Citation intense Car"/>
    <w:basedOn w:val="style65"/>
    <w:next w:val="style4109"/>
    <w:link w:val="style181"/>
    <w:uiPriority w:val="30"/>
    <w:rPr>
      <w:i/>
      <w:iCs/>
      <w:color w:val="404040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40404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auto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404040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404040"/>
      <w:spacing w:val="5"/>
    </w:rPr>
  </w:style>
  <w:style w:type="character" w:styleId="style264">
    <w:name w:val="Book Title"/>
    <w:basedOn w:val="style65"/>
    <w:next w:val="style264"/>
    <w:qFormat/>
    <w:uiPriority w:val="33"/>
    <w:rPr>
      <w:b/>
      <w:bCs/>
      <w:i/>
      <w:iC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paragraph" w:styleId="style19">
    <w:name w:val="toc 1"/>
    <w:basedOn w:val="style0"/>
    <w:next w:val="style0"/>
    <w:uiPriority w:val="39"/>
    <w:pPr>
      <w:spacing w:after="100"/>
    </w:pPr>
    <w:rPr>
      <w:color w:val="c00000"/>
    </w:rPr>
  </w:style>
  <w:style w:type="character" w:customStyle="1" w:styleId="style4110">
    <w:name w:val="Sans interligne Car"/>
    <w:next w:val="style4110"/>
    <w:link w:val="style157"/>
    <w:uiPriority w:val="1"/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1">
    <w:name w:val="En-tête Car"/>
    <w:basedOn w:val="style65"/>
    <w:next w:val="style4111"/>
    <w:link w:val="style31"/>
    <w:uiPriority w:val="99"/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536"/>
        <w:tab w:val="right" w:leader="none" w:pos="9072"/>
      </w:tabs>
      <w:spacing w:lineRule="auto" w:line="240"/>
    </w:pPr>
    <w:rPr/>
  </w:style>
  <w:style w:type="character" w:customStyle="1" w:styleId="style4112">
    <w:name w:val="Pied de page Car"/>
    <w:basedOn w:val="style65"/>
    <w:next w:val="style411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Words>921</Words>
  <Pages>1</Pages>
  <Characters>6059</Characters>
  <Application>WPS Office</Application>
  <DocSecurity>0</DocSecurity>
  <Paragraphs>218</Paragraphs>
  <ScaleCrop>false</ScaleCrop>
  <LinksUpToDate>false</LinksUpToDate>
  <CharactersWithSpaces>6891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2025-07-22T23:05:37Z</dcterms:created>
  <dc:creator>RAFANOMEZANTSOA</dc:creator>
  <lastModifiedBy>Redmi Note 8 Pro</lastModifiedBy>
  <dcterms:modified xsi:type="dcterms:W3CDTF">2025-07-22T23:42:22Z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7a5d927c3b454331af91c195db29219a</vt:lpwstr>
  </property>
</Properties>
</file>