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1FA3" w:rsidRPr="00E95820" w:rsidRDefault="00811FA3" w:rsidP="00811FA3">
      <w:pPr>
        <w:pStyle w:val="Titre"/>
        <w:rPr>
          <w:rFonts w:eastAsia="Calibri" w:cs="Times New Roman"/>
        </w:rPr>
      </w:pPr>
      <w:r w:rsidRPr="00E95820">
        <w:rPr>
          <w:rFonts w:eastAsia="Calibri" w:cs="Times New Roman"/>
        </w:rPr>
        <w:t>C</w:t>
      </w:r>
      <w:r>
        <w:rPr>
          <w:rFonts w:eastAsia="Calibri" w:cs="Times New Roman"/>
        </w:rPr>
        <w:t>ystite aiguë chez la femme</w:t>
      </w:r>
    </w:p>
    <w:p w:rsidR="00811FA3" w:rsidRPr="00E95820" w:rsidRDefault="00811FA3" w:rsidP="00811FA3">
      <w:pPr>
        <w:pStyle w:val="Titre1"/>
        <w:numPr>
          <w:ilvl w:val="0"/>
          <w:numId w:val="1"/>
        </w:numPr>
        <w:rPr>
          <w:rFonts w:eastAsia="Calibri" w:cs="Times New Roman"/>
        </w:rPr>
      </w:pPr>
      <w:r w:rsidRPr="00E95820">
        <w:rPr>
          <w:rFonts w:eastAsia="Calibri" w:cs="Times New Roman"/>
        </w:rPr>
        <w:t xml:space="preserve">Introduction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Inflammation de muqueuse vésicale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Adhérence des bactéries à muqueuse vésicale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Pollakiurie + brûlures mictionnelles et pyurie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Bénigne, sans gravité ni atteinte sur fonction rénale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30 – 40% guériraient sous T3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Récidives sont fréquentes</w:t>
      </w:r>
    </w:p>
    <w:p w:rsidR="00811FA3" w:rsidRPr="00811FA3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20 à 30% femmes font une cystite dans leur vie </w:t>
      </w:r>
    </w:p>
    <w:p w:rsidR="00811FA3" w:rsidRPr="00E95820" w:rsidRDefault="00811FA3" w:rsidP="00811FA3">
      <w:pPr>
        <w:pStyle w:val="Titre1"/>
        <w:numPr>
          <w:ilvl w:val="0"/>
          <w:numId w:val="1"/>
        </w:numPr>
        <w:rPr>
          <w:rFonts w:eastAsia="Calibri" w:cs="Times New Roman"/>
        </w:rPr>
      </w:pPr>
      <w:r w:rsidRPr="00E95820">
        <w:rPr>
          <w:rFonts w:eastAsia="Calibri" w:cs="Times New Roman"/>
        </w:rPr>
        <w:t xml:space="preserve">Physiopathologie </w:t>
      </w:r>
    </w:p>
    <w:p w:rsidR="00811FA3" w:rsidRPr="00E95820" w:rsidRDefault="00811FA3" w:rsidP="00811FA3">
      <w:pPr>
        <w:pStyle w:val="Titre2"/>
        <w:numPr>
          <w:ilvl w:val="1"/>
          <w:numId w:val="1"/>
        </w:numPr>
        <w:rPr>
          <w:rFonts w:eastAsia="Calibri" w:cs="Times New Roman"/>
        </w:rPr>
      </w:pPr>
      <w:r w:rsidRPr="00E95820">
        <w:rPr>
          <w:rFonts w:eastAsia="Calibri" w:cs="Times New Roman"/>
        </w:rPr>
        <w:t>Moyens de défense 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Urothélium : empêche l’adhésion bactérienne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Flux urinaire : chasse les germes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Fréquence des mictions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Anatomique : longueur urètre, péristaltisme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pH acide protège contre l’infection </w:t>
      </w:r>
    </w:p>
    <w:p w:rsidR="00811FA3" w:rsidRPr="00811FA3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Niveau de résistance de l’individu à l’infection </w:t>
      </w:r>
    </w:p>
    <w:p w:rsidR="00811FA3" w:rsidRPr="00E95820" w:rsidRDefault="00811FA3" w:rsidP="00811FA3">
      <w:pPr>
        <w:pStyle w:val="Titre2"/>
        <w:numPr>
          <w:ilvl w:val="1"/>
          <w:numId w:val="1"/>
        </w:numPr>
        <w:rPr>
          <w:rFonts w:eastAsia="Calibri" w:cs="Times New Roman"/>
        </w:rPr>
      </w:pPr>
      <w:r w:rsidRPr="00E95820">
        <w:rPr>
          <w:rFonts w:eastAsia="Calibri" w:cs="Times New Roman"/>
        </w:rPr>
        <w:t>Voies de l’infection </w:t>
      </w:r>
    </w:p>
    <w:p w:rsidR="00811FA3" w:rsidRPr="00E95820" w:rsidRDefault="00811FA3" w:rsidP="00811FA3">
      <w:pPr>
        <w:pStyle w:val="Titre3"/>
        <w:numPr>
          <w:ilvl w:val="2"/>
          <w:numId w:val="1"/>
        </w:numPr>
        <w:rPr>
          <w:rFonts w:eastAsia="Calibri" w:cs="Times New Roman"/>
        </w:rPr>
      </w:pPr>
      <w:r w:rsidRPr="00E95820">
        <w:rPr>
          <w:rFonts w:eastAsia="Calibri" w:cs="Times New Roman"/>
        </w:rPr>
        <w:t xml:space="preserve">Voie ascendante (rétrograde, canalaire) +++ :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Femme +++ car urètre court, près anus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Diminution diurèse et un nombre de mictions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Grossesse et RS (non protégé, partenaires multiples)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Colonisation de l’urètre par les germes (côlon, périnée, sillon balanopréputial…)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Germes gram négatif </w:t>
      </w:r>
    </w:p>
    <w:p w:rsidR="00811FA3" w:rsidRPr="00811FA3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Manœuvres instrumentales (sonde, endoscopie)</w:t>
      </w:r>
    </w:p>
    <w:p w:rsidR="00811FA3" w:rsidRPr="00E95820" w:rsidRDefault="00811FA3" w:rsidP="00811FA3">
      <w:pPr>
        <w:pStyle w:val="Titre3"/>
        <w:numPr>
          <w:ilvl w:val="2"/>
          <w:numId w:val="1"/>
        </w:numPr>
        <w:rPr>
          <w:rFonts w:eastAsia="Calibri" w:cs="Times New Roman"/>
        </w:rPr>
      </w:pPr>
      <w:r w:rsidRPr="00E95820">
        <w:rPr>
          <w:rFonts w:eastAsia="Calibri" w:cs="Times New Roman"/>
        </w:rPr>
        <w:t xml:space="preserve">Voie hématogène :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Rare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Foyer infectieux (bactériémie, septicémie)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Immunodéprimé et diabétique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Infection à Staphylocoques +++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Candidose </w:t>
      </w:r>
    </w:p>
    <w:p w:rsidR="00811FA3" w:rsidRPr="00811FA3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Tuberculose </w:t>
      </w:r>
    </w:p>
    <w:p w:rsidR="00811FA3" w:rsidRPr="00E95820" w:rsidRDefault="00811FA3" w:rsidP="00811FA3">
      <w:pPr>
        <w:pStyle w:val="Titre2"/>
        <w:numPr>
          <w:ilvl w:val="1"/>
          <w:numId w:val="1"/>
        </w:numPr>
        <w:rPr>
          <w:rFonts w:eastAsia="Calibri" w:cs="Times New Roman"/>
        </w:rPr>
      </w:pPr>
      <w:r w:rsidRPr="00E95820">
        <w:rPr>
          <w:rFonts w:eastAsia="Calibri" w:cs="Times New Roman"/>
        </w:rPr>
        <w:t>Germes en causes 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Adhérence bactérienne : les pili, fimbriae à la surface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Hémolysines : polypeptides cytotoxiques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Résistance bactérienne aux ATB </w:t>
      </w:r>
    </w:p>
    <w:p w:rsidR="00811FA3" w:rsidRPr="008E4707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E. coli aux </w:t>
      </w:r>
      <w:proofErr w:type="spellStart"/>
      <w:r w:rsidRPr="008E4707">
        <w:rPr>
          <w:rFonts w:eastAsia="Calibri" w:cs="Times New Roman"/>
        </w:rPr>
        <w:t>amino</w:t>
      </w:r>
      <w:proofErr w:type="spellEnd"/>
      <w:r w:rsidRPr="008E4707">
        <w:rPr>
          <w:rFonts w:eastAsia="Calibri" w:cs="Times New Roman"/>
        </w:rPr>
        <w:t xml:space="preserve">-pénicilline et cotrimoxazole </w:t>
      </w:r>
    </w:p>
    <w:p w:rsidR="00811FA3" w:rsidRPr="00811FA3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Klebsielle et </w:t>
      </w:r>
      <w:proofErr w:type="spellStart"/>
      <w:r w:rsidRPr="008E4707">
        <w:rPr>
          <w:rFonts w:eastAsia="Calibri" w:cs="Times New Roman"/>
        </w:rPr>
        <w:t>enterobacter</w:t>
      </w:r>
      <w:proofErr w:type="spellEnd"/>
      <w:r w:rsidRPr="008E4707">
        <w:rPr>
          <w:rFonts w:eastAsia="Calibri" w:cs="Times New Roman"/>
        </w:rPr>
        <w:t xml:space="preserve"> aux Péni A, céphalosporines G1 </w:t>
      </w:r>
    </w:p>
    <w:p w:rsidR="00811FA3" w:rsidRPr="00E95820" w:rsidRDefault="00811FA3" w:rsidP="00811FA3">
      <w:pPr>
        <w:pStyle w:val="Titre2"/>
        <w:numPr>
          <w:ilvl w:val="1"/>
          <w:numId w:val="1"/>
        </w:numPr>
        <w:rPr>
          <w:rFonts w:eastAsia="Calibri" w:cs="Times New Roman"/>
        </w:rPr>
      </w:pPr>
      <w:r w:rsidRPr="00E95820">
        <w:rPr>
          <w:rFonts w:eastAsia="Calibri" w:cs="Times New Roman"/>
        </w:rPr>
        <w:lastRenderedPageBreak/>
        <w:t xml:space="preserve">Facteurs favorisants de l’infection : </w:t>
      </w:r>
    </w:p>
    <w:p w:rsidR="00811FA3" w:rsidRPr="00E95820" w:rsidRDefault="00811FA3" w:rsidP="00811FA3">
      <w:pPr>
        <w:pStyle w:val="Titre3"/>
        <w:numPr>
          <w:ilvl w:val="2"/>
          <w:numId w:val="1"/>
        </w:numPr>
        <w:rPr>
          <w:rFonts w:eastAsia="Calibri" w:cs="Times New Roman"/>
        </w:rPr>
      </w:pPr>
      <w:r w:rsidRPr="00E95820">
        <w:rPr>
          <w:rFonts w:eastAsia="Calibri" w:cs="Times New Roman"/>
        </w:rPr>
        <w:t xml:space="preserve">Anatomiques :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Proximité anus – méat urétral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Facteurs de stase : obstacles, calcul…</w:t>
      </w:r>
    </w:p>
    <w:p w:rsidR="00811FA3" w:rsidRPr="00811FA3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Milieux septiques : fistules, reflux </w:t>
      </w:r>
    </w:p>
    <w:p w:rsidR="00811FA3" w:rsidRPr="00E95820" w:rsidRDefault="00811FA3" w:rsidP="00811FA3">
      <w:pPr>
        <w:pStyle w:val="Titre3"/>
        <w:numPr>
          <w:ilvl w:val="2"/>
          <w:numId w:val="1"/>
        </w:numPr>
        <w:rPr>
          <w:rFonts w:eastAsia="Calibri" w:cs="Times New Roman"/>
        </w:rPr>
      </w:pPr>
      <w:r w:rsidRPr="00E95820">
        <w:rPr>
          <w:rFonts w:eastAsia="Calibri" w:cs="Times New Roman"/>
        </w:rPr>
        <w:t xml:space="preserve">Locaux :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CE, tumeur vésicale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Résidu post-mictionnel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Rapports sexuels (ouverture transitoire de l’urètre)</w:t>
      </w:r>
    </w:p>
    <w:p w:rsidR="00811FA3" w:rsidRPr="00811FA3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Ecosystème bactérien périnéal </w:t>
      </w:r>
    </w:p>
    <w:p w:rsidR="00811FA3" w:rsidRPr="00E95820" w:rsidRDefault="00811FA3" w:rsidP="00811FA3">
      <w:pPr>
        <w:pStyle w:val="Titre3"/>
        <w:numPr>
          <w:ilvl w:val="2"/>
          <w:numId w:val="1"/>
        </w:numPr>
        <w:rPr>
          <w:rFonts w:eastAsia="Calibri" w:cs="Times New Roman"/>
        </w:rPr>
      </w:pPr>
      <w:r w:rsidRPr="00E95820">
        <w:rPr>
          <w:rFonts w:eastAsia="Calibri" w:cs="Times New Roman"/>
        </w:rPr>
        <w:t xml:space="preserve">Déséquilibre de l’écosystème bactérienne périnéal :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Macération prolongée (jeans serrés)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Toilette périnéale effectuée d’AR en AV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Modification de la flore vaginale par les pilules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Vulvite caustique (spermicides, désinfectants…)</w:t>
      </w:r>
    </w:p>
    <w:p w:rsidR="00811FA3" w:rsidRPr="00811FA3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Antibiothérapie orale </w:t>
      </w:r>
    </w:p>
    <w:p w:rsidR="00811FA3" w:rsidRPr="008E4707" w:rsidRDefault="00811FA3" w:rsidP="00811FA3">
      <w:pPr>
        <w:pStyle w:val="Titre3"/>
        <w:numPr>
          <w:ilvl w:val="2"/>
          <w:numId w:val="1"/>
        </w:numPr>
        <w:rPr>
          <w:rFonts w:eastAsia="Calibri"/>
        </w:rPr>
      </w:pPr>
      <w:r w:rsidRPr="008E4707">
        <w:rPr>
          <w:rFonts w:eastAsia="Calibri"/>
        </w:rPr>
        <w:t xml:space="preserve">Manœuvre endo-urétrales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Sondes</w:t>
      </w:r>
    </w:p>
    <w:p w:rsidR="00811FA3" w:rsidRPr="00811FA3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Cystoscopie </w:t>
      </w:r>
    </w:p>
    <w:p w:rsidR="00811FA3" w:rsidRPr="008E4707" w:rsidRDefault="00811FA3" w:rsidP="00811FA3">
      <w:pPr>
        <w:pStyle w:val="Titre3"/>
        <w:numPr>
          <w:ilvl w:val="2"/>
          <w:numId w:val="1"/>
        </w:numPr>
        <w:rPr>
          <w:rFonts w:eastAsia="Calibri"/>
        </w:rPr>
      </w:pPr>
      <w:r w:rsidRPr="008E4707">
        <w:rPr>
          <w:rFonts w:eastAsia="Calibri"/>
        </w:rPr>
        <w:t xml:space="preserve">Diminution des défenses immunitaires :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Physiologique : grossesse, ménopause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Thérapeutiques : transplantés </w:t>
      </w:r>
    </w:p>
    <w:p w:rsidR="00811FA3" w:rsidRPr="00811FA3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Pathologique : hémopathies, diabétiques, éthyliques, dénutrition </w:t>
      </w:r>
    </w:p>
    <w:p w:rsidR="00811FA3" w:rsidRPr="008E4707" w:rsidRDefault="00811FA3" w:rsidP="00811FA3">
      <w:pPr>
        <w:pStyle w:val="Titre1"/>
        <w:numPr>
          <w:ilvl w:val="0"/>
          <w:numId w:val="1"/>
        </w:numPr>
        <w:rPr>
          <w:rFonts w:eastAsia="Calibri"/>
        </w:rPr>
      </w:pPr>
      <w:r w:rsidRPr="008E4707">
        <w:rPr>
          <w:rFonts w:eastAsia="Calibri"/>
        </w:rPr>
        <w:t xml:space="preserve">Diagnostic positif </w:t>
      </w:r>
    </w:p>
    <w:p w:rsidR="00811FA3" w:rsidRPr="008E4707" w:rsidRDefault="00811FA3" w:rsidP="00811FA3">
      <w:pPr>
        <w:pStyle w:val="Titre2"/>
        <w:numPr>
          <w:ilvl w:val="1"/>
          <w:numId w:val="1"/>
        </w:numPr>
        <w:rPr>
          <w:rFonts w:eastAsia="Calibri"/>
        </w:rPr>
      </w:pPr>
      <w:r w:rsidRPr="008E4707">
        <w:rPr>
          <w:rFonts w:eastAsia="Calibri"/>
        </w:rPr>
        <w:t xml:space="preserve">Interrogatoire (SBAU) :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Douleurs hypogastriques à type de brûlures </w:t>
      </w:r>
    </w:p>
    <w:p w:rsidR="00811FA3" w:rsidRPr="008E4707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Majorées par réplétion vésicale </w:t>
      </w:r>
    </w:p>
    <w:p w:rsidR="00811FA3" w:rsidRPr="008E4707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Maximum à la miction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Pollakiurie +/- impériosités mictionnelles </w:t>
      </w:r>
    </w:p>
    <w:p w:rsidR="00811FA3" w:rsidRPr="00811FA3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Dysurie : émission de quelques gouttes douloureuses </w:t>
      </w:r>
    </w:p>
    <w:p w:rsidR="00811FA3" w:rsidRPr="008E4707" w:rsidRDefault="00811FA3" w:rsidP="00811FA3">
      <w:pPr>
        <w:pStyle w:val="Titre2"/>
        <w:numPr>
          <w:ilvl w:val="1"/>
          <w:numId w:val="1"/>
        </w:numPr>
        <w:rPr>
          <w:rFonts w:eastAsia="Calibri"/>
        </w:rPr>
      </w:pPr>
      <w:r w:rsidRPr="008E4707">
        <w:rPr>
          <w:rFonts w:eastAsia="Calibri"/>
        </w:rPr>
        <w:t xml:space="preserve">Examen physique :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Complications : </w:t>
      </w:r>
    </w:p>
    <w:p w:rsidR="00811FA3" w:rsidRPr="008E4707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Globe vésical : cause de RAU chez la femme </w:t>
      </w:r>
    </w:p>
    <w:p w:rsidR="00811FA3" w:rsidRPr="008E4707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Récidivantes ou existe contexte particulier </w:t>
      </w:r>
    </w:p>
    <w:p w:rsidR="00811FA3" w:rsidRPr="008E4707" w:rsidRDefault="00811FA3" w:rsidP="00811FA3">
      <w:pPr>
        <w:numPr>
          <w:ilvl w:val="2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Plus de 4 épisodes par an</w:t>
      </w:r>
    </w:p>
    <w:p w:rsidR="00811FA3" w:rsidRPr="008E4707" w:rsidRDefault="00811FA3" w:rsidP="00811FA3">
      <w:pPr>
        <w:numPr>
          <w:ilvl w:val="2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Sténose urétrale </w:t>
      </w:r>
    </w:p>
    <w:p w:rsidR="00811FA3" w:rsidRPr="008E4707" w:rsidRDefault="00811FA3" w:rsidP="00811FA3">
      <w:pPr>
        <w:numPr>
          <w:ilvl w:val="2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Tumeur </w:t>
      </w:r>
    </w:p>
    <w:p w:rsidR="00811FA3" w:rsidRPr="00811FA3" w:rsidRDefault="00811FA3" w:rsidP="00811FA3">
      <w:pPr>
        <w:numPr>
          <w:ilvl w:val="2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Calcul </w:t>
      </w:r>
    </w:p>
    <w:p w:rsidR="00811FA3" w:rsidRPr="008E4707" w:rsidRDefault="00811FA3" w:rsidP="00811FA3">
      <w:pPr>
        <w:pStyle w:val="Titre2"/>
        <w:numPr>
          <w:ilvl w:val="1"/>
          <w:numId w:val="1"/>
        </w:numPr>
        <w:rPr>
          <w:rFonts w:eastAsia="Calibri"/>
        </w:rPr>
      </w:pPr>
      <w:r w:rsidRPr="008E4707">
        <w:rPr>
          <w:rFonts w:eastAsia="Calibri"/>
        </w:rPr>
        <w:t>Examens paracliniques :</w:t>
      </w:r>
    </w:p>
    <w:p w:rsidR="00811FA3" w:rsidRPr="008E4707" w:rsidRDefault="00811FA3" w:rsidP="00811FA3">
      <w:pPr>
        <w:pStyle w:val="Titre3"/>
        <w:numPr>
          <w:ilvl w:val="2"/>
          <w:numId w:val="1"/>
        </w:numPr>
        <w:rPr>
          <w:rFonts w:eastAsia="Calibri"/>
        </w:rPr>
      </w:pPr>
      <w:r w:rsidRPr="008E4707">
        <w:rPr>
          <w:rFonts w:eastAsia="Calibri"/>
        </w:rPr>
        <w:t xml:space="preserve">BU :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Leucocytes +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Et/ou nitrites + </w:t>
      </w:r>
    </w:p>
    <w:p w:rsidR="00811FA3" w:rsidRPr="008E4707" w:rsidRDefault="00811FA3" w:rsidP="00811FA3">
      <w:pPr>
        <w:spacing w:after="160" w:line="259" w:lineRule="auto"/>
        <w:rPr>
          <w:rFonts w:eastAsia="Calibri" w:cs="Times New Roman"/>
        </w:rPr>
      </w:pPr>
    </w:p>
    <w:p w:rsidR="00811FA3" w:rsidRPr="008E4707" w:rsidRDefault="00811FA3" w:rsidP="00811FA3">
      <w:pPr>
        <w:pStyle w:val="Titre3"/>
        <w:numPr>
          <w:ilvl w:val="2"/>
          <w:numId w:val="1"/>
        </w:numPr>
        <w:rPr>
          <w:rFonts w:eastAsia="Calibri"/>
        </w:rPr>
      </w:pPr>
      <w:r w:rsidRPr="008E4707">
        <w:rPr>
          <w:rFonts w:eastAsia="Calibri"/>
        </w:rPr>
        <w:t xml:space="preserve">ECBU :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Non systématique avant T3 sauf : </w:t>
      </w:r>
    </w:p>
    <w:p w:rsidR="00811FA3" w:rsidRPr="008E4707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Doute diagnostique </w:t>
      </w:r>
    </w:p>
    <w:p w:rsidR="00811FA3" w:rsidRPr="008E4707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Doute à la bandelette </w:t>
      </w:r>
    </w:p>
    <w:p w:rsidR="00811FA3" w:rsidRPr="008E4707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Cystite récidivante </w:t>
      </w:r>
    </w:p>
    <w:p w:rsidR="00811FA3" w:rsidRPr="008E4707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Echec clinique </w:t>
      </w:r>
    </w:p>
    <w:p w:rsidR="00811FA3" w:rsidRPr="00811FA3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Défaut de sensibilité bactérienne </w:t>
      </w:r>
    </w:p>
    <w:p w:rsidR="00811FA3" w:rsidRPr="008E4707" w:rsidRDefault="00811FA3" w:rsidP="00811FA3">
      <w:pPr>
        <w:pStyle w:val="Titre3"/>
        <w:numPr>
          <w:ilvl w:val="2"/>
          <w:numId w:val="1"/>
        </w:numPr>
        <w:rPr>
          <w:rFonts w:eastAsia="Calibri"/>
        </w:rPr>
      </w:pPr>
      <w:r w:rsidRPr="008E4707">
        <w:rPr>
          <w:rFonts w:eastAsia="Calibri"/>
        </w:rPr>
        <w:t xml:space="preserve">Echographie vésicale :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Recherche d’anomalies (tumeur, calcul, résidu…)</w:t>
      </w:r>
    </w:p>
    <w:p w:rsidR="00811FA3" w:rsidRPr="00811FA3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Epaississement de la paroi vésicale  </w:t>
      </w:r>
    </w:p>
    <w:p w:rsidR="00811FA3" w:rsidRPr="008E4707" w:rsidRDefault="00811FA3" w:rsidP="00811FA3">
      <w:pPr>
        <w:pStyle w:val="Titre3"/>
        <w:numPr>
          <w:ilvl w:val="2"/>
          <w:numId w:val="1"/>
        </w:numPr>
        <w:rPr>
          <w:rFonts w:eastAsia="Calibri"/>
        </w:rPr>
      </w:pPr>
      <w:r w:rsidRPr="008E4707">
        <w:rPr>
          <w:rFonts w:eastAsia="Calibri"/>
        </w:rPr>
        <w:t xml:space="preserve">Cystoscopie :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Après désinfection urinaire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En cas d’hématurie (tumeur ou corps étrangers)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Découvrir tumeur, cystite interstitielle, phi</w:t>
      </w:r>
    </w:p>
    <w:p w:rsidR="00811FA3" w:rsidRPr="00811FA3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Dilatation d’une éventuelle sténose </w:t>
      </w:r>
      <w:proofErr w:type="spellStart"/>
      <w:r w:rsidRPr="008E4707">
        <w:rPr>
          <w:rFonts w:eastAsia="Calibri" w:cs="Times New Roman"/>
        </w:rPr>
        <w:t>méatique</w:t>
      </w:r>
      <w:proofErr w:type="spellEnd"/>
      <w:r w:rsidRPr="008E4707">
        <w:rPr>
          <w:rFonts w:eastAsia="Calibri" w:cs="Times New Roman"/>
        </w:rPr>
        <w:t xml:space="preserve"> </w:t>
      </w:r>
    </w:p>
    <w:p w:rsidR="00811FA3" w:rsidRPr="008E4707" w:rsidRDefault="00811FA3" w:rsidP="00811FA3">
      <w:pPr>
        <w:pStyle w:val="Titre1"/>
        <w:numPr>
          <w:ilvl w:val="0"/>
          <w:numId w:val="1"/>
        </w:numPr>
        <w:rPr>
          <w:rFonts w:eastAsia="Calibri"/>
        </w:rPr>
      </w:pPr>
      <w:r w:rsidRPr="008E4707">
        <w:rPr>
          <w:rFonts w:eastAsia="Calibri"/>
        </w:rPr>
        <w:t xml:space="preserve">Diagnostic </w:t>
      </w:r>
      <w:proofErr w:type="spellStart"/>
      <w:r w:rsidRPr="008E4707">
        <w:rPr>
          <w:rFonts w:eastAsia="Calibri"/>
        </w:rPr>
        <w:t>differentiel</w:t>
      </w:r>
      <w:proofErr w:type="spellEnd"/>
      <w:r w:rsidRPr="008E4707">
        <w:rPr>
          <w:rFonts w:eastAsia="Calibri"/>
        </w:rPr>
        <w:t xml:space="preserve">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Autres syndromes de cystite (douleur, pollakiurie, pyurie)</w:t>
      </w:r>
    </w:p>
    <w:p w:rsidR="00811FA3" w:rsidRPr="008E4707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Cystite radique : rayons </w:t>
      </w:r>
    </w:p>
    <w:p w:rsidR="00811FA3" w:rsidRPr="008E4707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Cystite interstitielle : terrain, ECBU stérile </w:t>
      </w:r>
    </w:p>
    <w:p w:rsidR="00811FA3" w:rsidRPr="008E4707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Cystalgies à urines claires : syndrome urétral </w:t>
      </w:r>
    </w:p>
    <w:p w:rsidR="00811FA3" w:rsidRPr="008E4707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Cystite tuberculeuse : BAAR, leucocyturie</w:t>
      </w:r>
    </w:p>
    <w:p w:rsidR="00811FA3" w:rsidRPr="00811FA3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Carcinome in situ : cystoscopie, biopsie </w:t>
      </w:r>
    </w:p>
    <w:p w:rsidR="00811FA3" w:rsidRPr="008E4707" w:rsidRDefault="00811FA3" w:rsidP="00811FA3">
      <w:pPr>
        <w:pStyle w:val="Titre1"/>
        <w:numPr>
          <w:ilvl w:val="0"/>
          <w:numId w:val="1"/>
        </w:numPr>
        <w:rPr>
          <w:rFonts w:eastAsia="Calibri"/>
        </w:rPr>
      </w:pPr>
      <w:r w:rsidRPr="008E4707">
        <w:rPr>
          <w:rFonts w:eastAsia="Calibri"/>
        </w:rPr>
        <w:t>Traitement</w:t>
      </w:r>
      <w:r w:rsidRPr="008E4707">
        <w:rPr>
          <w:rFonts w:eastAsia="Calibri"/>
        </w:rPr>
        <w:t xml:space="preserve"> </w:t>
      </w:r>
    </w:p>
    <w:p w:rsidR="00811FA3" w:rsidRPr="008E4707" w:rsidRDefault="00811FA3" w:rsidP="00811FA3">
      <w:pPr>
        <w:pStyle w:val="Titre2"/>
        <w:numPr>
          <w:ilvl w:val="1"/>
          <w:numId w:val="1"/>
        </w:numPr>
        <w:rPr>
          <w:rFonts w:eastAsia="Calibri"/>
        </w:rPr>
      </w:pPr>
      <w:r w:rsidRPr="008E4707">
        <w:rPr>
          <w:rFonts w:eastAsia="Calibri"/>
        </w:rPr>
        <w:t xml:space="preserve">Buts :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Eradiquer les germes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Calmer les signes </w:t>
      </w:r>
    </w:p>
    <w:p w:rsidR="00811FA3" w:rsidRPr="008E4707" w:rsidRDefault="00811FA3" w:rsidP="00811FA3">
      <w:pPr>
        <w:pStyle w:val="Titre2"/>
        <w:numPr>
          <w:ilvl w:val="1"/>
          <w:numId w:val="1"/>
        </w:numPr>
        <w:rPr>
          <w:rFonts w:eastAsia="Calibri"/>
        </w:rPr>
      </w:pPr>
      <w:r w:rsidRPr="008E4707">
        <w:rPr>
          <w:rFonts w:eastAsia="Calibri"/>
        </w:rPr>
        <w:t xml:space="preserve">Moyens : </w:t>
      </w:r>
    </w:p>
    <w:p w:rsidR="00811FA3" w:rsidRPr="008E4707" w:rsidRDefault="00811FA3" w:rsidP="00811FA3">
      <w:pPr>
        <w:pStyle w:val="Titre3"/>
        <w:numPr>
          <w:ilvl w:val="2"/>
          <w:numId w:val="1"/>
        </w:numPr>
        <w:rPr>
          <w:rFonts w:eastAsia="Calibri"/>
        </w:rPr>
      </w:pPr>
      <w:r w:rsidRPr="008E4707">
        <w:rPr>
          <w:rFonts w:eastAsia="Calibri"/>
        </w:rPr>
        <w:t xml:space="preserve">Moyens non médicamenteux : </w:t>
      </w:r>
    </w:p>
    <w:p w:rsidR="00811FA3" w:rsidRPr="00811FA3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Evitement des congestions pelviennes (facteurs favorisants les infections)</w:t>
      </w:r>
    </w:p>
    <w:p w:rsidR="00811FA3" w:rsidRPr="008E4707" w:rsidRDefault="00811FA3" w:rsidP="00811FA3">
      <w:pPr>
        <w:pStyle w:val="Titre3"/>
        <w:numPr>
          <w:ilvl w:val="2"/>
          <w:numId w:val="1"/>
        </w:numPr>
        <w:rPr>
          <w:rFonts w:eastAsia="Calibri"/>
        </w:rPr>
      </w:pPr>
      <w:r w:rsidRPr="008E4707">
        <w:rPr>
          <w:rFonts w:eastAsia="Calibri"/>
        </w:rPr>
        <w:t xml:space="preserve">Moyens médicamenteux :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Débutée après l’ECBU, sans en attendre le résultat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A modifier selon résultat antibiogramme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Actif, moins toxique, diffusion urinaire optimale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Durée variable : </w:t>
      </w:r>
    </w:p>
    <w:p w:rsidR="00811FA3" w:rsidRPr="008E4707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Minute : prise unique, </w:t>
      </w:r>
      <w:proofErr w:type="spellStart"/>
      <w:r w:rsidRPr="008E4707">
        <w:rPr>
          <w:rFonts w:eastAsia="Calibri" w:cs="Times New Roman"/>
        </w:rPr>
        <w:t>monodose</w:t>
      </w:r>
      <w:bookmarkStart w:id="0" w:name="_GoBack"/>
      <w:bookmarkEnd w:id="0"/>
      <w:proofErr w:type="spellEnd"/>
    </w:p>
    <w:p w:rsidR="00811FA3" w:rsidRPr="008E4707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Classique : 7 à 10 jours </w:t>
      </w:r>
    </w:p>
    <w:p w:rsidR="00811FA3" w:rsidRPr="008E4707" w:rsidRDefault="00811FA3" w:rsidP="00811FA3">
      <w:pPr>
        <w:spacing w:after="160" w:line="259" w:lineRule="auto"/>
        <w:rPr>
          <w:rFonts w:eastAsia="Calibri" w:cs="Times New Roman"/>
        </w:rPr>
      </w:pP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ATB utilisables en T3 court : </w:t>
      </w:r>
    </w:p>
    <w:p w:rsidR="00811FA3" w:rsidRPr="008E4707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  <w:i/>
          <w:iCs/>
        </w:rPr>
        <w:t>Fosfomycine</w:t>
      </w:r>
      <w:r w:rsidRPr="008E4707">
        <w:rPr>
          <w:rFonts w:eastAsia="Calibri" w:cs="Times New Roman"/>
        </w:rPr>
        <w:t xml:space="preserve"> </w:t>
      </w:r>
      <w:r>
        <w:rPr>
          <w:rStyle w:val="Appelnotedebasdep"/>
          <w:rFonts w:eastAsia="Calibri" w:cs="Times New Roman"/>
        </w:rPr>
        <w:footnoteReference w:id="1"/>
      </w:r>
      <w:r w:rsidRPr="008E4707">
        <w:rPr>
          <w:rFonts w:eastAsia="Calibri" w:cs="Times New Roman"/>
        </w:rPr>
        <w:t xml:space="preserve">1 sachet en dose unique </w:t>
      </w:r>
    </w:p>
    <w:p w:rsidR="00811FA3" w:rsidRPr="008E4707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  <w:i/>
          <w:iCs/>
        </w:rPr>
        <w:t>Quinolones</w:t>
      </w:r>
      <w:r w:rsidRPr="008E4707">
        <w:rPr>
          <w:rFonts w:eastAsia="Calibri" w:cs="Times New Roman"/>
        </w:rPr>
        <w:t xml:space="preserve"> : </w:t>
      </w:r>
    </w:p>
    <w:p w:rsidR="00811FA3" w:rsidRPr="008E4707" w:rsidRDefault="00811FA3" w:rsidP="00811FA3">
      <w:pPr>
        <w:numPr>
          <w:ilvl w:val="2"/>
          <w:numId w:val="34"/>
        </w:numPr>
        <w:spacing w:after="160" w:line="259" w:lineRule="auto"/>
        <w:contextualSpacing/>
        <w:rPr>
          <w:rFonts w:eastAsia="Calibri" w:cs="Times New Roman"/>
        </w:rPr>
      </w:pPr>
      <w:proofErr w:type="spellStart"/>
      <w:r w:rsidRPr="008E4707">
        <w:rPr>
          <w:rFonts w:eastAsia="Calibri" w:cs="Times New Roman"/>
        </w:rPr>
        <w:t>Pefloxacine</w:t>
      </w:r>
      <w:proofErr w:type="spellEnd"/>
      <w:r w:rsidRPr="008E4707">
        <w:rPr>
          <w:rFonts w:eastAsia="Calibri" w:cs="Times New Roman"/>
        </w:rPr>
        <w:t xml:space="preserve"> 400 mg 2 </w:t>
      </w:r>
      <w:proofErr w:type="spellStart"/>
      <w:r w:rsidRPr="008E4707">
        <w:rPr>
          <w:rFonts w:eastAsia="Calibri" w:cs="Times New Roman"/>
        </w:rPr>
        <w:t>cp</w:t>
      </w:r>
      <w:proofErr w:type="spellEnd"/>
      <w:r w:rsidRPr="008E4707">
        <w:rPr>
          <w:rFonts w:eastAsia="Calibri" w:cs="Times New Roman"/>
        </w:rPr>
        <w:t xml:space="preserve"> </w:t>
      </w:r>
    </w:p>
    <w:p w:rsidR="00811FA3" w:rsidRPr="008E4707" w:rsidRDefault="00811FA3" w:rsidP="00811FA3">
      <w:pPr>
        <w:numPr>
          <w:ilvl w:val="2"/>
          <w:numId w:val="34"/>
        </w:numPr>
        <w:spacing w:after="160" w:line="259" w:lineRule="auto"/>
        <w:contextualSpacing/>
        <w:rPr>
          <w:rFonts w:eastAsia="Calibri" w:cs="Times New Roman"/>
        </w:rPr>
      </w:pPr>
      <w:proofErr w:type="spellStart"/>
      <w:r w:rsidRPr="008E4707">
        <w:rPr>
          <w:rFonts w:eastAsia="Calibri" w:cs="Times New Roman"/>
        </w:rPr>
        <w:t>Levofloxacine</w:t>
      </w:r>
      <w:proofErr w:type="spellEnd"/>
      <w:r w:rsidRPr="008E4707">
        <w:rPr>
          <w:rFonts w:eastAsia="Calibri" w:cs="Times New Roman"/>
        </w:rPr>
        <w:t xml:space="preserve"> 500 mg 1 </w:t>
      </w:r>
      <w:proofErr w:type="spellStart"/>
      <w:r w:rsidRPr="008E4707">
        <w:rPr>
          <w:rFonts w:eastAsia="Calibri" w:cs="Times New Roman"/>
        </w:rPr>
        <w:t>cp</w:t>
      </w:r>
      <w:proofErr w:type="spellEnd"/>
    </w:p>
    <w:p w:rsidR="00811FA3" w:rsidRPr="008E4707" w:rsidRDefault="00811FA3" w:rsidP="00811FA3">
      <w:pPr>
        <w:numPr>
          <w:ilvl w:val="2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CI : grossesse, photosensibilisation et peuvent donner des tendinopathies </w:t>
      </w:r>
    </w:p>
    <w:p w:rsidR="00811FA3" w:rsidRPr="008E4707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  <w:i/>
          <w:iCs/>
        </w:rPr>
      </w:pPr>
      <w:proofErr w:type="spellStart"/>
      <w:r w:rsidRPr="008E4707">
        <w:rPr>
          <w:rFonts w:eastAsia="Calibri" w:cs="Times New Roman"/>
          <w:i/>
          <w:iCs/>
        </w:rPr>
        <w:t>Sulfaméthazole</w:t>
      </w:r>
      <w:proofErr w:type="spellEnd"/>
      <w:r w:rsidRPr="008E4707">
        <w:rPr>
          <w:rFonts w:eastAsia="Calibri" w:cs="Times New Roman"/>
          <w:i/>
          <w:iCs/>
        </w:rPr>
        <w:t xml:space="preserve"> forte : </w:t>
      </w:r>
    </w:p>
    <w:p w:rsidR="00811FA3" w:rsidRPr="008E4707" w:rsidRDefault="00811FA3" w:rsidP="00811FA3">
      <w:pPr>
        <w:numPr>
          <w:ilvl w:val="2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3 comprimés en une prise </w:t>
      </w:r>
    </w:p>
    <w:p w:rsidR="00811FA3" w:rsidRPr="00811FA3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Antiseptiques urinaires pas de place en T3 court  </w:t>
      </w:r>
      <w:r w:rsidRPr="008E4707">
        <w:rPr>
          <w:rFonts w:eastAsia="Calibri" w:cs="Times New Roman"/>
        </w:rPr>
        <w:tab/>
      </w:r>
    </w:p>
    <w:p w:rsidR="00811FA3" w:rsidRPr="008E4707" w:rsidRDefault="00811FA3" w:rsidP="00811FA3">
      <w:pPr>
        <w:pStyle w:val="Titre2"/>
        <w:numPr>
          <w:ilvl w:val="1"/>
          <w:numId w:val="1"/>
        </w:numPr>
        <w:rPr>
          <w:rFonts w:eastAsia="Calibri"/>
        </w:rPr>
      </w:pPr>
      <w:r w:rsidRPr="008E4707">
        <w:rPr>
          <w:rFonts w:eastAsia="Calibri"/>
        </w:rPr>
        <w:t xml:space="preserve">Indication du T3 court :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Mois de 65 ans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Non enceinte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IU non compliquée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Evoluant depuis moins de 3 jours </w:t>
      </w:r>
    </w:p>
    <w:p w:rsidR="00811FA3" w:rsidRPr="00811FA3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Sans ATCD urologique (calculs, fistule, chirurgie…)</w:t>
      </w:r>
    </w:p>
    <w:p w:rsidR="00811FA3" w:rsidRPr="008E4707" w:rsidRDefault="00811FA3" w:rsidP="00811FA3">
      <w:pPr>
        <w:pStyle w:val="Titre2"/>
        <w:numPr>
          <w:ilvl w:val="1"/>
          <w:numId w:val="1"/>
        </w:numPr>
        <w:rPr>
          <w:rFonts w:eastAsia="Calibri"/>
        </w:rPr>
      </w:pPr>
      <w:r w:rsidRPr="008E4707">
        <w:rPr>
          <w:rFonts w:eastAsia="Calibri"/>
        </w:rPr>
        <w:t xml:space="preserve">Mesures HD et T3 préventif :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Miction plus de 1,5 l/J, régulières, post-coïtales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Hygiène périnéale (toilette d’AV </w:t>
      </w:r>
      <w:proofErr w:type="spellStart"/>
      <w:r w:rsidRPr="008E4707">
        <w:rPr>
          <w:rFonts w:eastAsia="Calibri" w:cs="Times New Roman"/>
        </w:rPr>
        <w:t>en</w:t>
      </w:r>
      <w:proofErr w:type="spellEnd"/>
      <w:r w:rsidRPr="008E4707">
        <w:rPr>
          <w:rFonts w:eastAsia="Calibri" w:cs="Times New Roman"/>
        </w:rPr>
        <w:t xml:space="preserve"> AR)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Régularisation du transit intestinal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T3 d’une infection génitale associée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Œstrogène à action trophique pour ménopausée </w:t>
      </w:r>
    </w:p>
    <w:p w:rsidR="00811FA3" w:rsidRPr="008E4707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proofErr w:type="spellStart"/>
      <w:r w:rsidRPr="008E4707">
        <w:rPr>
          <w:rFonts w:eastAsia="Calibri" w:cs="Times New Roman"/>
        </w:rPr>
        <w:t>Colpotrophine</w:t>
      </w:r>
      <w:proofErr w:type="spellEnd"/>
      <w:r w:rsidRPr="008E4707">
        <w:rPr>
          <w:rFonts w:eastAsia="Calibri" w:cs="Times New Roman"/>
        </w:rPr>
        <w:t xml:space="preserve"> : 1 ovule/J 20 jours/mois pendant 3 à 6 mois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Asepsie lors des manœuvres endo-urologiques </w:t>
      </w:r>
    </w:p>
    <w:p w:rsidR="00811FA3" w:rsidRPr="00811FA3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T3 étiologique des IU récidivantes </w:t>
      </w:r>
    </w:p>
    <w:p w:rsidR="00811FA3" w:rsidRPr="008E4707" w:rsidRDefault="00811FA3" w:rsidP="00811FA3">
      <w:pPr>
        <w:pStyle w:val="Titre1"/>
        <w:numPr>
          <w:ilvl w:val="0"/>
          <w:numId w:val="1"/>
        </w:numPr>
        <w:rPr>
          <w:rFonts w:eastAsia="Calibri"/>
        </w:rPr>
      </w:pPr>
      <w:r w:rsidRPr="008E4707">
        <w:rPr>
          <w:rFonts w:eastAsia="Calibri"/>
        </w:rPr>
        <w:t xml:space="preserve">Conclusion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Cystite chez la femme : </w:t>
      </w:r>
    </w:p>
    <w:p w:rsidR="00811FA3" w:rsidRPr="008E4707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Présentation classique des IU</w:t>
      </w:r>
    </w:p>
    <w:p w:rsidR="00811FA3" w:rsidRPr="008E4707" w:rsidRDefault="00811FA3" w:rsidP="00811FA3">
      <w:pPr>
        <w:numPr>
          <w:ilvl w:val="1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Plus fréquente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Pas de cystite simple chez l’homme : toujours compliquée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 xml:space="preserve">Place de l’ECBU dans le diagnostic </w:t>
      </w:r>
    </w:p>
    <w:p w:rsidR="00811FA3" w:rsidRPr="008E4707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Place des ATB dans T3</w:t>
      </w:r>
    </w:p>
    <w:p w:rsidR="00872EA0" w:rsidRPr="00811FA3" w:rsidRDefault="00811FA3" w:rsidP="00811FA3">
      <w:pPr>
        <w:numPr>
          <w:ilvl w:val="0"/>
          <w:numId w:val="34"/>
        </w:numPr>
        <w:spacing w:after="160" w:line="259" w:lineRule="auto"/>
        <w:contextualSpacing/>
        <w:rPr>
          <w:rFonts w:eastAsia="Calibri" w:cs="Times New Roman"/>
        </w:rPr>
      </w:pPr>
      <w:r w:rsidRPr="008E4707">
        <w:rPr>
          <w:rFonts w:eastAsia="Calibri" w:cs="Times New Roman"/>
        </w:rPr>
        <w:t>Attention multi récidivés : causes organiques ???</w:t>
      </w:r>
    </w:p>
    <w:sectPr w:rsidR="00872EA0" w:rsidRPr="00811FA3" w:rsidSect="00ED58FF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7FA7" w:rsidRDefault="001F7FA7" w:rsidP="00ED58FF">
      <w:pPr>
        <w:spacing w:line="240" w:lineRule="auto"/>
      </w:pPr>
      <w:r>
        <w:separator/>
      </w:r>
    </w:p>
  </w:endnote>
  <w:endnote w:type="continuationSeparator" w:id="0">
    <w:p w:rsidR="001F7FA7" w:rsidRDefault="001F7FA7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7FA7" w:rsidRDefault="001F7FA7" w:rsidP="00ED58FF">
      <w:pPr>
        <w:spacing w:line="240" w:lineRule="auto"/>
      </w:pPr>
      <w:r>
        <w:separator/>
      </w:r>
    </w:p>
  </w:footnote>
  <w:footnote w:type="continuationSeparator" w:id="0">
    <w:p w:rsidR="001F7FA7" w:rsidRDefault="001F7FA7" w:rsidP="00ED58FF">
      <w:pPr>
        <w:spacing w:line="240" w:lineRule="auto"/>
      </w:pPr>
      <w:r>
        <w:continuationSeparator/>
      </w:r>
    </w:p>
  </w:footnote>
  <w:footnote w:id="1">
    <w:p w:rsidR="00811FA3" w:rsidRDefault="00811FA3" w:rsidP="00811FA3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proofErr w:type="spellStart"/>
      <w:r>
        <w:t>Monuril</w:t>
      </w:r>
      <w:proofErr w:type="spellEnd"/>
      <w:r>
        <w:t xml:space="preserve"> 3g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696BBE" w:rsidRDefault="00811FA3" w:rsidP="00ED58FF">
    <w:pPr>
      <w:pStyle w:val="En-tte"/>
      <w:jc w:val="right"/>
      <w:rPr>
        <w:b/>
        <w:color w:val="808080" w:themeColor="background1" w:themeShade="80"/>
      </w:rPr>
    </w:pPr>
    <w:r>
      <w:rPr>
        <w:b/>
        <w:noProof/>
        <w:color w:val="808080" w:themeColor="background1" w:themeShade="80"/>
      </w:rPr>
      <w:t xml:space="preserve">Néphro-urologie du 24 Juillet </w:t>
    </w:r>
    <w:r w:rsidR="00696BBE" w:rsidRPr="00696BBE">
      <w:rPr>
        <w:b/>
        <w:noProof/>
        <w:color w:val="808080" w:themeColor="background1" w:themeShade="80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1240C63"/>
    <w:multiLevelType w:val="hybridMultilevel"/>
    <w:tmpl w:val="CD98E142"/>
    <w:lvl w:ilvl="0" w:tplc="8E0AB23C">
      <w:start w:val="1"/>
      <w:numFmt w:val="upperRoman"/>
      <w:lvlText w:val="%1.1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A651015"/>
    <w:multiLevelType w:val="hybridMultilevel"/>
    <w:tmpl w:val="887A20E2"/>
    <w:lvl w:ilvl="0" w:tplc="41DCFE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3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"/>
  </w:num>
  <w:num w:numId="3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97EAE"/>
    <w:rsid w:val="000D3B92"/>
    <w:rsid w:val="00101625"/>
    <w:rsid w:val="001313C9"/>
    <w:rsid w:val="0013512C"/>
    <w:rsid w:val="001A0D04"/>
    <w:rsid w:val="001A2B94"/>
    <w:rsid w:val="001F7FA7"/>
    <w:rsid w:val="00256ADE"/>
    <w:rsid w:val="00265A80"/>
    <w:rsid w:val="002A6A07"/>
    <w:rsid w:val="002C6447"/>
    <w:rsid w:val="002E5E72"/>
    <w:rsid w:val="002F11C5"/>
    <w:rsid w:val="00313CF7"/>
    <w:rsid w:val="00335ADC"/>
    <w:rsid w:val="0037606B"/>
    <w:rsid w:val="003C5F05"/>
    <w:rsid w:val="003D25C6"/>
    <w:rsid w:val="004538AD"/>
    <w:rsid w:val="004E639C"/>
    <w:rsid w:val="00502925"/>
    <w:rsid w:val="00504447"/>
    <w:rsid w:val="00537805"/>
    <w:rsid w:val="00554F63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5213D"/>
    <w:rsid w:val="00795614"/>
    <w:rsid w:val="007C33B7"/>
    <w:rsid w:val="007E3A52"/>
    <w:rsid w:val="00811FA3"/>
    <w:rsid w:val="00872EA0"/>
    <w:rsid w:val="008809FC"/>
    <w:rsid w:val="008C5E2B"/>
    <w:rsid w:val="008D5B42"/>
    <w:rsid w:val="008F1FDE"/>
    <w:rsid w:val="00926B96"/>
    <w:rsid w:val="00A20C5D"/>
    <w:rsid w:val="00AB4EC0"/>
    <w:rsid w:val="00AC0D72"/>
    <w:rsid w:val="00AD761F"/>
    <w:rsid w:val="00BB4BA5"/>
    <w:rsid w:val="00C36BEA"/>
    <w:rsid w:val="00CA01E4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D0596"/>
    <w:rsid w:val="00ED58FF"/>
    <w:rsid w:val="00F048D4"/>
    <w:rsid w:val="00F17AB1"/>
    <w:rsid w:val="00F73ED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D6DC1B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1FA3"/>
    <w:rPr>
      <w:rFonts w:ascii="Times New Roman" w:hAnsi="Times New Roman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11FA3"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11FA3"/>
    <w:rPr>
      <w:rFonts w:ascii="Times New Roman" w:hAnsi="Times New Roman"/>
      <w:sz w:val="20"/>
      <w:szCs w:val="20"/>
      <w:lang w:val="fr-FR"/>
    </w:rPr>
  </w:style>
  <w:style w:type="character" w:styleId="Appelnotedebasdep">
    <w:name w:val="footnote reference"/>
    <w:basedOn w:val="Policepardfaut"/>
    <w:uiPriority w:val="99"/>
    <w:semiHidden/>
    <w:unhideWhenUsed/>
    <w:rsid w:val="00811FA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729</Words>
  <Characters>4156</Characters>
  <Application>Microsoft Office Word</Application>
  <DocSecurity>0</DocSecurity>
  <Lines>34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30</vt:i4>
      </vt:variant>
    </vt:vector>
  </HeadingPairs>
  <TitlesOfParts>
    <vt:vector size="31" baseType="lpstr">
      <vt:lpstr/>
      <vt:lpstr>Introduction </vt:lpstr>
      <vt:lpstr>Physiopathologie </vt:lpstr>
      <vt:lpstr>    Moyens de défense </vt:lpstr>
      <vt:lpstr>    Voies de l’infection </vt:lpstr>
      <vt:lpstr>        Voie ascendante (rétrograde, canalaire) +++ : </vt:lpstr>
      <vt:lpstr>        Voie hématogène : </vt:lpstr>
      <vt:lpstr>    Germes en causes </vt:lpstr>
      <vt:lpstr>    Facteurs favorisants de l’infection : </vt:lpstr>
      <vt:lpstr>        Anatomiques : </vt:lpstr>
      <vt:lpstr>        Locaux : </vt:lpstr>
      <vt:lpstr>        Déséquilibre de l’écosystème bactérienne périnéal : </vt:lpstr>
      <vt:lpstr>        Manœuvre endo-urétrales </vt:lpstr>
      <vt:lpstr>        Diminution des défenses immunitaires : </vt:lpstr>
      <vt:lpstr>Diagnostic positif </vt:lpstr>
      <vt:lpstr>    Interrogatoire (SBAU) : </vt:lpstr>
      <vt:lpstr>    Examen physique : </vt:lpstr>
      <vt:lpstr>    Examens paracliniques :</vt:lpstr>
      <vt:lpstr>        BU : </vt:lpstr>
      <vt:lpstr>        ECBU : </vt:lpstr>
      <vt:lpstr>        Echographie vésicale : </vt:lpstr>
      <vt:lpstr>        Cystoscopie : </vt:lpstr>
      <vt:lpstr>Diagnostic differentiel </vt:lpstr>
      <vt:lpstr>Traitement </vt:lpstr>
      <vt:lpstr>    Buts : </vt:lpstr>
      <vt:lpstr>    Moyens : </vt:lpstr>
      <vt:lpstr>        Moyens non médicamenteux : </vt:lpstr>
      <vt:lpstr>        Moyens médicamenteux : </vt:lpstr>
      <vt:lpstr>    Indication du T3 court : </vt:lpstr>
      <vt:lpstr>    Mesures HD et T3 préventif : </vt:lpstr>
      <vt:lpstr>Conclusion </vt:lpstr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2</cp:revision>
  <dcterms:created xsi:type="dcterms:W3CDTF">2025-07-27T20:16:00Z</dcterms:created>
  <dcterms:modified xsi:type="dcterms:W3CDTF">2025-07-27T20:16:00Z</dcterms:modified>
</cp:coreProperties>
</file>