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  <w:r>
        <w:t>Incontinence urinaire : diagnostic et traitement</w:t>
      </w:r>
    </w:p>
    <w:p>
      <w:pPr>
        <w:pStyle w:val="style1"/>
        <w:rPr>
          <w:lang w:val="fr-FR"/>
        </w:rPr>
      </w:pPr>
      <w:r>
        <w:rPr>
          <w:lang w:val="fr-FR"/>
        </w:rPr>
        <w:t xml:space="preserve">Généralité </w:t>
      </w:r>
    </w:p>
    <w:p>
      <w:pPr>
        <w:pStyle w:val="style2"/>
        <w:rPr/>
      </w:pPr>
      <w:r>
        <w:t>Définition 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>P</w:t>
      </w:r>
      <w:r>
        <w:rPr>
          <w:lang w:val="fr-FR"/>
        </w:rPr>
        <w:t>erte involontaire urines par méat urétral ; démontrable, problème social ou hygiène</w:t>
      </w:r>
    </w:p>
    <w:p>
      <w:pPr>
        <w:pStyle w:val="style2"/>
        <w:rPr/>
      </w:pPr>
      <w:r>
        <w:t>Intérêt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fr-FR"/>
        </w:rPr>
        <w:t>Fréquence : motif consultation, femme (+++)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fr-FR"/>
        </w:rPr>
        <w:t>Gravité : retentissement psychosocial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fr-FR"/>
        </w:rPr>
        <w:t>Diagnostic : clinique important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fr-FR"/>
        </w:rPr>
        <w:t>Traitement : bandelette transurétral</w:t>
      </w:r>
      <w:bookmarkStart w:id="0" w:name="_GoBack"/>
      <w:bookmarkEnd w:id="0"/>
      <w:r>
        <w:rPr>
          <w:lang w:val="en-US"/>
        </w:rPr>
        <w:t>e</w:t>
      </w:r>
    </w:p>
    <w:p>
      <w:pPr>
        <w:pStyle w:val="style2"/>
        <w:rPr/>
      </w:pPr>
      <w:r>
        <w:t>Physiopathologie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 xml:space="preserve">Incontinence urinaire d'effort 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>Femme</w:t>
      </w:r>
    </w:p>
    <w:p>
      <w:pPr>
        <w:pStyle w:val="style179"/>
        <w:numPr>
          <w:ilvl w:val="2"/>
          <w:numId w:val="33"/>
        </w:numPr>
        <w:rPr>
          <w:lang w:val="fr-FR"/>
        </w:rPr>
      </w:pPr>
      <w:r>
        <w:rPr>
          <w:lang w:val="en-US"/>
        </w:rPr>
        <w:t xml:space="preserve">Hypermobilité cervico-urétrale : vieillissement tissulaire, carence hormonale, traumatisme </w:t>
      </w:r>
    </w:p>
    <w:p>
      <w:pPr>
        <w:pStyle w:val="style179"/>
        <w:numPr>
          <w:ilvl w:val="2"/>
          <w:numId w:val="33"/>
        </w:numPr>
        <w:rPr>
          <w:lang w:val="fr-FR"/>
        </w:rPr>
      </w:pPr>
      <w:r>
        <w:rPr>
          <w:lang w:val="en-US"/>
        </w:rPr>
        <w:t>Insuffisance sphinctérienne : défaut occlusion urétrale, (atteinte directe ou dénervation au cours atteinte somatique périphérique)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>Homme : iatrogénie (PR, CPT, radiothérapie...)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>Incontinence urinaire par urgenturie : idiopathique, psychogène, trouble neurologique central, cause locale (obstacle sous vésicale, cause vésicale)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>Incontinence urinaire mixte</w:t>
      </w:r>
    </w:p>
    <w:p>
      <w:pPr>
        <w:pStyle w:val="style1"/>
        <w:rPr/>
      </w:pPr>
      <w:r>
        <w:t xml:space="preserve">Diagnostic </w:t>
      </w:r>
    </w:p>
    <w:p>
      <w:pPr>
        <w:pStyle w:val="style2"/>
        <w:rPr/>
      </w:pPr>
      <w:r>
        <w:t xml:space="preserve">Diagnostic positif </w:t>
      </w:r>
    </w:p>
    <w:p>
      <w:pPr>
        <w:pStyle w:val="style3"/>
        <w:rPr/>
      </w:pPr>
      <w:r>
        <w:t xml:space="preserve">Circonstances de découverte 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>Fuites urines d'effort : contexte, apparition, classification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>Fuite urines urgenturie.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>Troubles statiques pelviennes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 xml:space="preserve">Dysurie 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 xml:space="preserve">Infection à répétition 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>Boule vaginale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>Pesanteur vaginal ou gêne rapport sexuel</w:t>
      </w:r>
    </w:p>
    <w:p>
      <w:pPr>
        <w:pStyle w:val="style0"/>
        <w:numPr>
          <w:ilvl w:val="0"/>
          <w:numId w:val="0"/>
        </w:numPr>
        <w:jc w:val="center"/>
        <w:rPr>
          <w:color w:val="bf0000"/>
          <w:sz w:val="28"/>
          <w:szCs w:val="28"/>
          <w:highlight w:val="none"/>
          <w:lang w:val="fr-FR"/>
        </w:rPr>
      </w:pPr>
      <w:r>
        <w:rPr>
          <w:color w:val="bf0000"/>
          <w:sz w:val="28"/>
          <w:szCs w:val="28"/>
          <w:highlight w:val="none"/>
          <w:lang w:val="en-US"/>
        </w:rPr>
        <w:t>Classification de Starney</w:t>
      </w:r>
    </w:p>
    <w:tbl>
      <w:tblPr>
        <w:tblStyle w:val="style15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691"/>
        <w:gridCol w:w="7946"/>
      </w:tblGrid>
      <w:tr>
        <w:trPr/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lang w:val="en-US"/>
              </w:rPr>
              <w:t>Grade 0</w:t>
            </w:r>
          </w:p>
        </w:tc>
        <w:tc>
          <w:tcPr>
            <w:tcW w:w="7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lang w:val="en-US"/>
              </w:rPr>
              <w:t xml:space="preserve">Pas d'incontinence </w:t>
            </w:r>
          </w:p>
        </w:tc>
      </w:tr>
      <w:tr>
        <w:tblPrEx/>
        <w:trPr/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lang w:val="en-US"/>
              </w:rPr>
              <w:t>Grade 1</w:t>
            </w:r>
          </w:p>
        </w:tc>
        <w:tc>
          <w:tcPr>
            <w:tcW w:w="7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lang w:val="en-US"/>
              </w:rPr>
              <w:t xml:space="preserve">Incontinence à la toux ou à la poussée </w:t>
            </w:r>
          </w:p>
        </w:tc>
      </w:tr>
      <w:tr>
        <w:tblPrEx/>
        <w:trPr/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lang w:val="en-US"/>
              </w:rPr>
              <w:t>Grade 2</w:t>
            </w:r>
          </w:p>
        </w:tc>
        <w:tc>
          <w:tcPr>
            <w:tcW w:w="7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lang w:val="en-US"/>
              </w:rPr>
              <w:t>Incontinence aux changements de position où à la marche</w:t>
            </w:r>
          </w:p>
        </w:tc>
      </w:tr>
      <w:tr>
        <w:tblPrEx/>
        <w:trPr/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lang w:val="en-US"/>
              </w:rPr>
              <w:t>Grade 3</w:t>
            </w:r>
          </w:p>
        </w:tc>
        <w:tc>
          <w:tcPr>
            <w:tcW w:w="7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lang w:val="en-US"/>
              </w:rPr>
              <w:t>Incontinence totale et permanente</w:t>
            </w:r>
          </w:p>
        </w:tc>
      </w:tr>
    </w:tbl>
    <w:p>
      <w:pPr>
        <w:pStyle w:val="style0"/>
        <w:numPr>
          <w:ilvl w:val="0"/>
          <w:numId w:val="0"/>
        </w:numPr>
        <w:rPr>
          <w:lang w:val="fr-FR"/>
        </w:rPr>
      </w:pPr>
    </w:p>
    <w:p>
      <w:pPr>
        <w:pStyle w:val="style3"/>
        <w:rPr/>
      </w:pPr>
      <w:r>
        <w:t xml:space="preserve">Interrogatoire 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>Importance fuite : nombre , protection, Pad-test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 xml:space="preserve">Évaluer gêne fonctionnelle : pollakiurie 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>Rechercher signe associé : SUBA, dysfonction érectile ou trouble anorectal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>Classer la fuite</w:t>
      </w:r>
    </w:p>
    <w:p>
      <w:pPr>
        <w:pStyle w:val="style3"/>
        <w:rPr/>
      </w:pPr>
      <w:r>
        <w:t xml:space="preserve">Examen physique 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 xml:space="preserve">Position 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 xml:space="preserve">Test d'effort chez femme 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 xml:space="preserve">Mise en évidence fuite effort de toux 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>Recherche hypermobilité col vésical et urètre (cervicoptose)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>Manœuvre de Bonney (Bethoux, Ulmsten)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 xml:space="preserve">Testing muscle releveur  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 xml:space="preserve">Test remplissage vésical, reproduire l'urgenturie 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>Recherche trouble associé statique pelvienne : cystocèle, hystérocèle, rectocèle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 xml:space="preserve">Hystérocèle et infection urinaire 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>Trophicité vulvovaginale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 xml:space="preserve">Examen neurologique </w:t>
      </w:r>
    </w:p>
    <w:p>
      <w:pPr>
        <w:pStyle w:val="style3"/>
        <w:rPr/>
      </w:pPr>
      <w:r>
        <w:t xml:space="preserve">Examen complémentaire 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>Systématique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>ECBU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>FCV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>Bilan urodynamique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>Urétromanométrie statique : PCmax - 110 - âge, insuffisance sphinctérienne si PCmax abaissée 20%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 xml:space="preserve">Urétromanométrie dynamique : inversion gradient de pression vessie - urètre 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 xml:space="preserve">Cystomanométrie : instabilité vésicale 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 xml:space="preserve">Uretro-cystographie dynamique 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>Repos.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>Effort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>Défaillance pelvi-périnéale</w:t>
      </w:r>
    </w:p>
    <w:p>
      <w:pPr>
        <w:pStyle w:val="style179"/>
        <w:numPr>
          <w:ilvl w:val="0"/>
          <w:numId w:val="33"/>
        </w:numPr>
        <w:rPr>
          <w:lang w:val="en-US"/>
        </w:rPr>
      </w:pPr>
      <w:r>
        <w:rPr>
          <w:lang w:val="en-US"/>
        </w:rPr>
        <w:t xml:space="preserve">Rectocolpocystogramme </w:t>
      </w:r>
    </w:p>
    <w:p>
      <w:pPr>
        <w:pStyle w:val="style179"/>
        <w:numPr>
          <w:ilvl w:val="1"/>
          <w:numId w:val="33"/>
        </w:numPr>
        <w:rPr>
          <w:lang w:val="en-US"/>
        </w:rPr>
      </w:pPr>
      <w:r>
        <w:rPr>
          <w:lang w:val="en-US"/>
        </w:rPr>
        <w:t>Opacification viscère bassin</w:t>
      </w:r>
    </w:p>
    <w:p>
      <w:pPr>
        <w:pStyle w:val="style179"/>
        <w:numPr>
          <w:ilvl w:val="1"/>
          <w:numId w:val="33"/>
        </w:numPr>
        <w:rPr>
          <w:lang w:val="en-US"/>
        </w:rPr>
      </w:pPr>
      <w:r>
        <w:rPr>
          <w:lang w:val="en-US"/>
        </w:rPr>
        <w:t>Cliché repos et effort</w:t>
      </w:r>
    </w:p>
    <w:p>
      <w:pPr>
        <w:pStyle w:val="style179"/>
        <w:numPr>
          <w:ilvl w:val="1"/>
          <w:numId w:val="33"/>
        </w:numPr>
        <w:rPr>
          <w:lang w:val="en-US"/>
        </w:rPr>
      </w:pPr>
      <w:r>
        <w:rPr>
          <w:lang w:val="en-US"/>
        </w:rPr>
        <w:t xml:space="preserve">Prolapsus génitale </w:t>
      </w:r>
    </w:p>
    <w:p>
      <w:pPr>
        <w:pStyle w:val="style179"/>
        <w:numPr>
          <w:ilvl w:val="0"/>
          <w:numId w:val="33"/>
        </w:numPr>
        <w:rPr>
          <w:lang w:val="en-US"/>
        </w:rPr>
      </w:pPr>
      <w:r>
        <w:rPr>
          <w:lang w:val="en-US"/>
        </w:rPr>
        <w:t xml:space="preserve">Endoscopie vésicale 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 xml:space="preserve">Échographie : cervicoptose, haut appareil </w:t>
      </w:r>
    </w:p>
    <w:p>
      <w:pPr>
        <w:pStyle w:val="style2"/>
        <w:rPr/>
      </w:pPr>
      <w:r>
        <w:t xml:space="preserve">Diagnostic retentissement 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 xml:space="preserve">Condition prise en charge 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 xml:space="preserve">Retentissement psychologique 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>Retentissement social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>Cotation échelle 0 - 10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>Attente du malade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 xml:space="preserve">Questionnaire sur la qualité de vie </w:t>
      </w:r>
    </w:p>
    <w:p>
      <w:pPr>
        <w:pStyle w:val="style2"/>
        <w:rPr/>
      </w:pPr>
      <w:r>
        <w:t>Diagnostic différentiel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 xml:space="preserve">Fistules congénitale 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>Abouchement ectopique uretère : vessie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>Abouchement ectopique uretère : urètre, vagin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 xml:space="preserve">Fistule acquise 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>Fistule urétérale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 xml:space="preserve">Fistule vésicale 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 xml:space="preserve">Fistule urétrale 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 xml:space="preserve">Fistule cutanée </w:t>
      </w:r>
    </w:p>
    <w:p>
      <w:pPr>
        <w:pStyle w:val="style2"/>
        <w:rPr/>
      </w:pPr>
      <w:r>
        <w:t xml:space="preserve">Diagnostic étiologique 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>Femme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>Age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>Facteurs risques intrinsèque : génétique, racial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 xml:space="preserve">Facteurs de risques Gynéco-obstétricaux 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>Facteurs de risques généraux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>Homme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>Age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 xml:space="preserve">Iatrogénie 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>Obstacle sous vésical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 xml:space="preserve">Communes 2 sexes : maladies neurologiques </w:t>
      </w:r>
    </w:p>
    <w:p>
      <w:pPr>
        <w:pStyle w:val="style1"/>
        <w:rPr/>
      </w:pPr>
      <w:r>
        <w:t xml:space="preserve">Traitement </w:t>
      </w:r>
    </w:p>
    <w:p>
      <w:pPr>
        <w:pStyle w:val="style2"/>
        <w:rPr/>
      </w:pPr>
      <w:r>
        <w:t>Buts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>Assurer confort mictionnel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 xml:space="preserve">Améliorer qualité de vie 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 xml:space="preserve">Faciliter réinsertion sociale </w:t>
      </w:r>
    </w:p>
    <w:p>
      <w:pPr>
        <w:pStyle w:val="style2"/>
        <w:rPr/>
      </w:pPr>
      <w:r>
        <w:t xml:space="preserve">Moyens et méthodes 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 xml:space="preserve"> Psychothérapie (±), normalisation hydrique, lutte contre obésité 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 xml:space="preserve">Rééducation 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 xml:space="preserve">Renforcement tonus et puissance muscle périnée 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>Kinésithérapie périnéale, électrostimulation, biofeed-back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>15 séances, 2 - 3 mois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 xml:space="preserve">10% guérison, 40% amélioration 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 xml:space="preserve">Moyens médicaux 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 xml:space="preserve">Œstrogénothérapie </w:t>
      </w:r>
    </w:p>
    <w:p>
      <w:pPr>
        <w:pStyle w:val="style179"/>
        <w:numPr>
          <w:ilvl w:val="2"/>
          <w:numId w:val="33"/>
        </w:numPr>
        <w:rPr>
          <w:lang w:val="fr-FR"/>
        </w:rPr>
      </w:pPr>
      <w:r>
        <w:rPr>
          <w:lang w:val="en-US"/>
        </w:rPr>
        <w:t>Amélioration trophicité urétrale et vulvo-vaginale</w:t>
      </w:r>
    </w:p>
    <w:p>
      <w:pPr>
        <w:pStyle w:val="style179"/>
        <w:numPr>
          <w:ilvl w:val="2"/>
          <w:numId w:val="33"/>
        </w:numPr>
        <w:rPr>
          <w:lang w:val="fr-FR"/>
        </w:rPr>
      </w:pPr>
      <w:r>
        <w:rPr>
          <w:lang w:val="en-US"/>
        </w:rPr>
        <w:t>Colpotrohine : 1 ovule par 2 jours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 xml:space="preserve">Amélioration irritabilité vésicale </w:t>
      </w:r>
    </w:p>
    <w:p>
      <w:pPr>
        <w:pStyle w:val="style179"/>
        <w:numPr>
          <w:ilvl w:val="2"/>
          <w:numId w:val="33"/>
        </w:numPr>
        <w:rPr>
          <w:lang w:val="fr-FR"/>
        </w:rPr>
      </w:pPr>
      <w:r>
        <w:rPr>
          <w:lang w:val="en-US"/>
        </w:rPr>
        <w:t>Anticholinergique (Ditropan)</w:t>
      </w:r>
    </w:p>
    <w:p>
      <w:pPr>
        <w:pStyle w:val="style179"/>
        <w:numPr>
          <w:ilvl w:val="2"/>
          <w:numId w:val="33"/>
        </w:numPr>
        <w:rPr>
          <w:lang w:val="fr-FR"/>
        </w:rPr>
      </w:pPr>
      <w:r>
        <w:rPr>
          <w:lang w:val="en-US"/>
        </w:rPr>
        <w:t>Beta-2-agoniste</w:t>
      </w:r>
    </w:p>
    <w:p>
      <w:pPr>
        <w:pStyle w:val="style179"/>
        <w:numPr>
          <w:ilvl w:val="2"/>
          <w:numId w:val="33"/>
        </w:numPr>
        <w:rPr>
          <w:lang w:val="fr-FR"/>
        </w:rPr>
      </w:pPr>
      <w:r>
        <w:rPr>
          <w:lang w:val="en-US"/>
        </w:rPr>
        <w:t>Toxine botulique</w:t>
      </w:r>
    </w:p>
    <w:p>
      <w:pPr>
        <w:pStyle w:val="style179"/>
        <w:numPr>
          <w:ilvl w:val="2"/>
          <w:numId w:val="33"/>
        </w:numPr>
        <w:rPr>
          <w:lang w:val="fr-FR"/>
        </w:rPr>
      </w:pPr>
      <w:r>
        <w:rPr>
          <w:lang w:val="en-US"/>
        </w:rPr>
        <w:t>Neuromodulation sacrée (pacemaker vésical)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 xml:space="preserve">Moyens chirurgicaux 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 xml:space="preserve">Restaurer support urètre proximal et col vésical </w:t>
      </w:r>
    </w:p>
    <w:p>
      <w:pPr>
        <w:pStyle w:val="style179"/>
        <w:numPr>
          <w:ilvl w:val="2"/>
          <w:numId w:val="33"/>
        </w:numPr>
        <w:rPr>
          <w:lang w:val="fr-FR"/>
        </w:rPr>
      </w:pPr>
      <w:r>
        <w:rPr>
          <w:lang w:val="en-US"/>
        </w:rPr>
        <w:t>Bandelette sous urétrale : trans-obturateur (TOT), transvaginale (TVT)</w:t>
      </w:r>
    </w:p>
    <w:p>
      <w:pPr>
        <w:pStyle w:val="style179"/>
        <w:numPr>
          <w:ilvl w:val="2"/>
          <w:numId w:val="33"/>
        </w:numPr>
        <w:rPr>
          <w:lang w:val="fr-FR"/>
        </w:rPr>
      </w:pPr>
      <w:r>
        <w:rPr>
          <w:lang w:val="en-US"/>
        </w:rPr>
        <w:t>Colposuspension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>Ballons ajustable péri-urétraux</w:t>
      </w:r>
    </w:p>
    <w:p>
      <w:pPr>
        <w:pStyle w:val="style179"/>
        <w:numPr>
          <w:ilvl w:val="0"/>
          <w:numId w:val="0"/>
        </w:numPr>
        <w:ind w:left="1440" w:firstLine="0"/>
        <w:rPr>
          <w:lang w:val="fr-FR"/>
        </w:rPr>
      </w:pPr>
      <w:r>
        <w:rPr>
          <w:lang w:val="en-US"/>
        </w:rPr>
        <w:t xml:space="preserve">➡️ Conséquence : dysurie 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>Neuromodulation sacrée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>Sphincter artificiel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>Entérocystoplastie d'agrandissement</w:t>
      </w:r>
    </w:p>
    <w:p>
      <w:pPr>
        <w:pStyle w:val="style2"/>
        <w:rPr/>
      </w:pPr>
      <w:r>
        <w:t xml:space="preserve">Indications 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 xml:space="preserve">Incontinence urinaire d'effort 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>Phase 1</w:t>
      </w:r>
    </w:p>
    <w:p>
      <w:pPr>
        <w:pStyle w:val="style179"/>
        <w:numPr>
          <w:ilvl w:val="2"/>
          <w:numId w:val="33"/>
        </w:numPr>
        <w:rPr>
          <w:lang w:val="fr-FR"/>
        </w:rPr>
      </w:pPr>
      <w:r>
        <w:rPr>
          <w:lang w:val="en-US"/>
        </w:rPr>
        <w:t xml:space="preserve">Correction obésité </w:t>
      </w:r>
    </w:p>
    <w:p>
      <w:pPr>
        <w:pStyle w:val="style179"/>
        <w:numPr>
          <w:ilvl w:val="2"/>
          <w:numId w:val="33"/>
        </w:numPr>
        <w:rPr>
          <w:lang w:val="fr-FR"/>
        </w:rPr>
      </w:pPr>
      <w:r>
        <w:rPr>
          <w:lang w:val="en-US"/>
        </w:rPr>
        <w:t xml:space="preserve">Œstrogénothérapie </w:t>
      </w:r>
    </w:p>
    <w:p>
      <w:pPr>
        <w:pStyle w:val="style179"/>
        <w:numPr>
          <w:ilvl w:val="2"/>
          <w:numId w:val="33"/>
        </w:numPr>
        <w:rPr>
          <w:lang w:val="fr-FR"/>
        </w:rPr>
      </w:pPr>
      <w:r>
        <w:rPr>
          <w:lang w:val="en-US"/>
        </w:rPr>
        <w:t xml:space="preserve">Normaliser apport hydrique </w:t>
      </w:r>
    </w:p>
    <w:p>
      <w:pPr>
        <w:pStyle w:val="style179"/>
        <w:numPr>
          <w:ilvl w:val="2"/>
          <w:numId w:val="33"/>
        </w:numPr>
        <w:rPr>
          <w:lang w:val="fr-FR"/>
        </w:rPr>
      </w:pPr>
      <w:r>
        <w:rPr>
          <w:lang w:val="en-US"/>
        </w:rPr>
        <w:t xml:space="preserve">Rééducation périnéale 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 xml:space="preserve">Phase 2 </w:t>
      </w:r>
    </w:p>
    <w:p>
      <w:pPr>
        <w:pStyle w:val="style179"/>
        <w:numPr>
          <w:ilvl w:val="2"/>
          <w:numId w:val="33"/>
        </w:numPr>
        <w:rPr>
          <w:lang w:val="fr-FR"/>
        </w:rPr>
      </w:pPr>
      <w:r>
        <w:rPr>
          <w:lang w:val="en-US"/>
        </w:rPr>
        <w:t xml:space="preserve">Hypermobilité cervico-urétrale : bandelette sous urétrale, colposuspension </w:t>
      </w:r>
    </w:p>
    <w:p>
      <w:pPr>
        <w:pStyle w:val="style179"/>
        <w:numPr>
          <w:ilvl w:val="2"/>
          <w:numId w:val="33"/>
        </w:numPr>
        <w:rPr>
          <w:lang w:val="fr-FR"/>
        </w:rPr>
      </w:pPr>
      <w:r>
        <w:rPr>
          <w:lang w:val="en-US"/>
        </w:rPr>
        <w:t xml:space="preserve">Insuffisance sphincter : ballons ajustable, sphincter artificiel 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 xml:space="preserve">Incontinence urinaire par urgenturie 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>Phase 1</w:t>
      </w:r>
    </w:p>
    <w:p>
      <w:pPr>
        <w:pStyle w:val="style179"/>
        <w:numPr>
          <w:ilvl w:val="2"/>
          <w:numId w:val="33"/>
        </w:numPr>
        <w:rPr>
          <w:lang w:val="fr-FR"/>
        </w:rPr>
      </w:pPr>
      <w:r>
        <w:rPr>
          <w:lang w:val="en-US"/>
        </w:rPr>
        <w:t xml:space="preserve">Régulation apport liquidien </w:t>
      </w:r>
    </w:p>
    <w:p>
      <w:pPr>
        <w:pStyle w:val="style179"/>
        <w:numPr>
          <w:ilvl w:val="2"/>
          <w:numId w:val="33"/>
        </w:numPr>
        <w:rPr>
          <w:lang w:val="fr-FR"/>
        </w:rPr>
      </w:pPr>
      <w:r>
        <w:rPr>
          <w:lang w:val="en-US"/>
        </w:rPr>
        <w:t xml:space="preserve">Œstrogénothérapie </w:t>
      </w:r>
    </w:p>
    <w:p>
      <w:pPr>
        <w:pStyle w:val="style179"/>
        <w:numPr>
          <w:ilvl w:val="2"/>
          <w:numId w:val="33"/>
        </w:numPr>
        <w:rPr>
          <w:lang w:val="fr-FR"/>
        </w:rPr>
      </w:pPr>
      <w:r>
        <w:rPr>
          <w:lang w:val="en-US"/>
        </w:rPr>
        <w:t xml:space="preserve">Rééducation périnéale </w:t>
      </w:r>
    </w:p>
    <w:p>
      <w:pPr>
        <w:pStyle w:val="style179"/>
        <w:numPr>
          <w:ilvl w:val="2"/>
          <w:numId w:val="33"/>
        </w:numPr>
        <w:rPr>
          <w:lang w:val="fr-FR"/>
        </w:rPr>
      </w:pPr>
      <w:r>
        <w:rPr>
          <w:lang w:val="en-US"/>
        </w:rPr>
        <w:t xml:space="preserve">Anticholinergique, beta-2-agoniste 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>Phase 2</w:t>
      </w:r>
    </w:p>
    <w:p>
      <w:pPr>
        <w:pStyle w:val="style179"/>
        <w:numPr>
          <w:ilvl w:val="2"/>
          <w:numId w:val="33"/>
        </w:numPr>
        <w:rPr>
          <w:lang w:val="fr-FR"/>
        </w:rPr>
      </w:pPr>
      <w:r>
        <w:rPr>
          <w:lang w:val="en-US"/>
        </w:rPr>
        <w:t xml:space="preserve">Toxine botulique </w:t>
      </w:r>
    </w:p>
    <w:p>
      <w:pPr>
        <w:pStyle w:val="style179"/>
        <w:numPr>
          <w:ilvl w:val="2"/>
          <w:numId w:val="33"/>
        </w:numPr>
        <w:rPr>
          <w:lang w:val="fr-FR"/>
        </w:rPr>
      </w:pPr>
      <w:r>
        <w:rPr>
          <w:lang w:val="en-US"/>
        </w:rPr>
        <w:t xml:space="preserve">Neuromodulation sacrée </w:t>
      </w:r>
    </w:p>
    <w:p>
      <w:pPr>
        <w:pStyle w:val="style179"/>
        <w:numPr>
          <w:ilvl w:val="1"/>
          <w:numId w:val="33"/>
        </w:numPr>
        <w:rPr>
          <w:lang w:val="fr-FR"/>
        </w:rPr>
      </w:pPr>
      <w:r>
        <w:rPr>
          <w:lang w:val="en-US"/>
        </w:rPr>
        <w:t>Phase 3</w:t>
      </w:r>
    </w:p>
    <w:p>
      <w:pPr>
        <w:pStyle w:val="style179"/>
        <w:numPr>
          <w:ilvl w:val="2"/>
          <w:numId w:val="33"/>
        </w:numPr>
        <w:rPr>
          <w:lang w:val="fr-FR"/>
        </w:rPr>
      </w:pPr>
      <w:r>
        <w:rPr>
          <w:lang w:val="en-US"/>
        </w:rPr>
        <w:t xml:space="preserve">Entérocystoplastie d'agrandissement 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>Incontinence urinaire mixte : traiter en premier la composante majeure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>Incontinence urinaire par regorgement : désobstruction cervico-urétro-prostatique</w:t>
      </w:r>
    </w:p>
    <w:p>
      <w:pPr>
        <w:pStyle w:val="style2"/>
        <w:rPr/>
      </w:pPr>
      <w:r>
        <w:t xml:space="preserve">Résultats 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 xml:space="preserve">Fonction de type d'incontinence 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 xml:space="preserve">Résultats satisfaisants de chirurgie 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>Problème de continence (dysurie)</w:t>
      </w:r>
    </w:p>
    <w:p>
      <w:pPr>
        <w:pStyle w:val="style1"/>
        <w:rPr/>
      </w:pPr>
      <w:r>
        <w:t xml:space="preserve">Conclusion 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>Plus fréquente chez la femme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 xml:space="preserve">Retentissement psychosocial 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>Traitement par pallier</w:t>
      </w:r>
    </w:p>
    <w:p>
      <w:pPr>
        <w:pStyle w:val="style179"/>
        <w:numPr>
          <w:ilvl w:val="0"/>
          <w:numId w:val="33"/>
        </w:numPr>
        <w:rPr>
          <w:lang w:val="fr-FR"/>
        </w:rPr>
      </w:pPr>
      <w:r>
        <w:rPr>
          <w:lang w:val="en-US"/>
        </w:rPr>
        <w:t xml:space="preserve">Chirurgie place importante </w:t>
      </w:r>
    </w:p>
    <w:sectPr>
      <w:headerReference w:type="default" r:id="rId2"/>
      <w:footerReference w:type="default" r:id="rId3"/>
      <w:pgSz w:w="11906" w:h="16838" w:orient="portrait"/>
      <w:pgMar w:top="284" w:right="851" w:bottom="28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2AFF" w:usb1="4000ACFF" w:usb2="00000001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>
        <w:lang w:val="fr-FR"/>
      </w:rPr>
    </w:pPr>
    <w:r>
      <w:rPr>
        <w:noProof/>
        <w:color w:val="808080"/>
      </w:rPr>
      <mc:AlternateContent>
        <mc:Choice Requires="wpg">
          <w:drawing>
            <wp:anchor distT="0" distB="0" distL="0" distR="0" simplePos="false" relativeHeight="3" behindDoc="false" locked="false" layoutInCell="true" allowOverlap="true">
              <wp:simplePos x="0" y="0"/>
              <wp:positionH relativeFrom="margin">
                <wp:align>right</wp:align>
              </wp:positionH>
              <wp:positionV relativeFrom="bottomMargin">
                <wp14:pctPosVOffset>20000</wp14:pctPosVOffset>
              </wp:positionV>
              <wp:extent cx="5943600" cy="320040"/>
              <wp:effectExtent l="0" t="0" r="0" b="3810"/>
              <wp:wrapSquare wrapText="bothSides"/>
              <wp:docPr id="4097" name="Groupe 37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0"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SpPr/>
                      <wps:spPr>
                        <a:xfrm rot="0">
                          <a:off x="19050" y="0"/>
                          <a:ext cx="5943600" cy="18826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>
                        <a:prstTxWarp prst="textNoShape"/>
                      </wps:bodyPr>
                    </wps:wsp>
                    <wps:wsp>
                      <wps:cNvSpPr/>
                      <wps:spPr>
                        <a:xfrm rot="0">
                          <a:off x="0" y="66676"/>
                          <a:ext cx="5943599" cy="257175"/>
                        </a:xfrm>
                        <a:prstGeom prst="rect"/>
                        <a:ln>
                          <a:noFill/>
                        </a:ln>
                      </wps:spPr>
                      <wps:txbx id="4099">
                        <w:txbxContent>
                          <w:p>
                            <w:pPr>
                              <w:pStyle w:val="style0"/>
                              <w:jc w:val="right"/>
                              <w:rPr>
                                <w:rFonts w:cs="Times New Roman"/>
                                <w:b/>
                                <w:color w:val="7f7f7f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7f7f7f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lIns="91440" rIns="91440" tIns="45720" bIns="0" vert="horz" anchor="b" wrap="square">
                        <a:prstTxWarp prst="textNoShape"/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4097" filled="f" stroked="f" style="position:absolute;margin-left:0.0pt;margin-top:0.0pt;width:468.0pt;height:25.2pt;z-index:3;mso-top-percent:200;mso-position-horizontal:right;mso-position-horizontal-relative:margin;mso-position-vertical-relative:bottom-margin-area;mso-width-percent:1000;mso-height-percent:0;mso-width-relative:margin;mso-height-relative:margin;mso-wrap-distance-left:0.0pt;mso-wrap-distance-right:0.0pt;visibility:visible;" coordsize="5962650,323851">
              <v:rect id="4098" fillcolor="black" stroked="f" style="position:absolute;left:19050;top:0;width:5943600;height:18826;z-index:2;mso-position-horizontal-relative:page;mso-position-vertical-relative:page;mso-width-relative:page;mso-height-relative:page;visibility:visible;">
                <v:stroke on="f"/>
                <v:fill/>
              </v:rect>
              <v:rect id="4099" filled="f" stroked="f" style="position:absolute;left:0;top:66676;width:5943599;height:257175;z-index:3;mso-position-horizontal-relative:page;mso-position-vertical-relative:page;mso-width-relative:page;mso-height-relative:page;visibility:visible;v-text-anchor:bottom;">
                <v:stroke on="f"/>
                <v:fill/>
                <v:textbox inset="7.2pt,3.6pt,7.2pt,0.0pt">
                  <w:txbxContent>
                    <w:p>
                      <w:pPr>
                        <w:pStyle w:val="style0"/>
                        <w:jc w:val="right"/>
                        <w:rPr>
                          <w:rFonts w:cs="Times New Roman"/>
                          <w:b/>
                          <w:color w:val="7f7f7f"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color w:val="7f7f7f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rect>
              <w10:wrap type="square"/>
              <v:fill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rightMargin">
                <wp:align>left</wp:align>
              </wp:positionH>
              <wp:positionV relativeFrom="bottomMargin">
                <wp14:pctPosVOffset>20000</wp14:pctPosVOffset>
              </wp:positionV>
              <wp:extent cx="457200" cy="320040"/>
              <wp:effectExtent l="0" t="0" r="0" b="3810"/>
              <wp:wrapSquare wrapText="bothSides"/>
              <wp:docPr id="4100" name="Rectangle 40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457200" cy="320040"/>
                      </a:xfrm>
                      <a:prstGeom prst="rect"/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 id="4100">
                      <w:txbxContent>
                        <w:p>
                          <w:pPr>
                            <w:pStyle w:val="style0"/>
                            <w:jc w:val="center"/>
                            <w:rPr>
                              <w:color w:val="ffffff"/>
                            </w:rPr>
                          </w:pPr>
                          <w:r>
                            <w:rPr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</w:rPr>
                            <w:instrText>PAGE   \* MERGEFORMAT</w:instrText>
                          </w:r>
                          <w:r>
                            <w:rPr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lang w:val="fr-FR"/>
                            </w:rPr>
                            <w:t>2</w:t>
                          </w:r>
                          <w:r>
                            <w:rPr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lIns="91440" rIns="91440" tIns="45720" bIns="45720" vert="horz" anchor="b" wrap="square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4100" fillcolor="black" stroked="f" style="position:absolute;margin-left:0.0pt;margin-top:0.0pt;width:36.0pt;height:25.2pt;z-index:2;mso-top-percent:200;mso-position-horizontal:left;mso-position-horizontal-relative:right-margin-area;mso-position-vertical-relative:bottom-margin-area;mso-width-percent:0;mso-height-percent:0;mso-width-relative:margin;mso-height-relative:margin;mso-wrap-distance-left:0.0pt;mso-wrap-distance-right:0.0pt;visibility:visible;v-text-anchor:bottom;">
              <v:stroke on="f"/>
              <w10:wrap type="square"/>
              <v:fill/>
              <v:textbox inset="7.2pt,3.6pt,7.2pt,3.6pt">
                <w:txbxContent>
                  <w:p>
                    <w:pPr>
                      <w:pStyle w:val="style0"/>
                      <w:jc w:val="center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  <w:fldChar w:fldCharType="begin"/>
                    </w:r>
                    <w:r>
                      <w:rPr>
                        <w:color w:val="ffffff"/>
                      </w:rPr>
                      <w:instrText>PAGE   \* MERGEFORMAT</w:instrText>
                    </w:r>
                    <w:r>
                      <w:rPr>
                        <w:color w:val="ffffff"/>
                      </w:rPr>
                      <w:fldChar w:fldCharType="separate"/>
                    </w:r>
                    <w:r>
                      <w:rPr>
                        <w:color w:val="ffffff"/>
                        <w:lang w:val="fr-FR"/>
                      </w:rPr>
                      <w:t>2</w:t>
                    </w:r>
                    <w:r>
                      <w:rPr>
                        <w:color w:val="ffffff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>
        <w:b/>
        <w:color w:val="808080"/>
        <w:lang w:val="fr-FR"/>
      </w:rPr>
    </w:pPr>
    <w:r>
      <w:rPr>
        <w:b/>
        <w:noProof/>
        <w:color w:val="808080"/>
        <w:lang w:val="fr-FR"/>
      </w:rPr>
      <w:t xml:space="preserve">Néphro-urologie du 17 Juillet </w:t>
    </w:r>
    <w:r>
      <w:rPr>
        <w:b/>
        <w:noProof/>
        <w:color w:val="8080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EBE44F76"/>
    <w:lvl w:ilvl="0">
      <w:start w:val="1"/>
      <w:numFmt w:val="upperRoman"/>
      <w:pStyle w:val="style1"/>
      <w:lvlText w:val="%1."/>
      <w:lvlJc w:val="right"/>
      <w:pPr>
        <w:ind w:left="360" w:hanging="360"/>
      </w:pPr>
    </w:lvl>
    <w:lvl w:ilvl="1">
      <w:start w:val="1"/>
      <w:numFmt w:val="decimal"/>
      <w:pStyle w:val="style2"/>
      <w:lvlText w:val="%1.%2"/>
      <w:lvlJc w:val="left"/>
      <w:pPr>
        <w:ind w:left="576" w:hanging="576"/>
      </w:pPr>
    </w:lvl>
    <w:lvl w:ilvl="2">
      <w:start w:val="1"/>
      <w:numFmt w:val="decimal"/>
      <w:pStyle w:val="style3"/>
      <w:lvlText w:val="%1.%2.%3"/>
      <w:lvlJc w:val="left"/>
      <w:pPr>
        <w:ind w:left="720" w:hanging="720"/>
      </w:pPr>
    </w:lvl>
    <w:lvl w:ilvl="3">
      <w:start w:val="1"/>
      <w:numFmt w:val="decimal"/>
      <w:pStyle w:val="style4"/>
      <w:lvlText w:val="%1.%2.%3.%4"/>
      <w:lvlJc w:val="left"/>
      <w:pPr>
        <w:ind w:left="864" w:hanging="864"/>
      </w:pPr>
    </w:lvl>
    <w:lvl w:ilvl="4">
      <w:start w:val="1"/>
      <w:numFmt w:val="decimal"/>
      <w:pStyle w:val="style5"/>
      <w:lvlText w:val="%1.%2.%3.%4.%5"/>
      <w:lvlJc w:val="left"/>
      <w:pPr>
        <w:ind w:left="1008" w:hanging="1008"/>
      </w:pPr>
    </w:lvl>
    <w:lvl w:ilvl="5">
      <w:start w:val="1"/>
      <w:numFmt w:val="decimal"/>
      <w:pStyle w:val="style6"/>
      <w:lvlText w:val="%1.%2.%3.%4.%5.%6"/>
      <w:lvlJc w:val="left"/>
      <w:pPr>
        <w:ind w:left="1152" w:hanging="1152"/>
      </w:pPr>
    </w:lvl>
    <w:lvl w:ilvl="6">
      <w:start w:val="1"/>
      <w:numFmt w:val="decimal"/>
      <w:pStyle w:val="styl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styl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style9"/>
      <w:lvlText w:val="%1.%2.%3.%4.%5.%6.%7.%8.%9"/>
      <w:lvlJc w:val="left"/>
      <w:pPr>
        <w:ind w:left="1584" w:hanging="1584"/>
      </w:pPr>
    </w:lvl>
  </w:abstractNum>
  <w:abstractNum w:abstractNumId="1">
    <w:nsid w:val="00000001"/>
    <w:multiLevelType w:val="hybridMultilevel"/>
    <w:tmpl w:val="0EBEF508"/>
    <w:lvl w:ilvl="0" w:tplc="C5969EA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Calibri" w:hAnsi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2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bidi="ar-SA" w:eastAsia="en-US"/>
      </w:rPr>
    </w:rPrDefault>
    <w:pPrDefault>
      <w:pPr>
        <w:spacing w:lineRule="auto" w:line="360"/>
      </w:pPr>
    </w:pPrDefault>
  </w:docDefaults>
  <w:style w:type="paragraph" w:default="1" w:styleId="style0">
    <w:name w:val="Normal"/>
    <w:next w:val="style0"/>
    <w:qFormat/>
    <w:pPr/>
    <w:rPr>
      <w:rFonts w:ascii="Times New Roman" w:hAnsi="Times New Roman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numPr>
        <w:ilvl w:val="0"/>
        <w:numId w:val="1"/>
      </w:numPr>
      <w:spacing w:before="240"/>
      <w:outlineLvl w:val="0"/>
    </w:pPr>
    <w:rPr>
      <w:rFonts w:cs="宋体" w:eastAsia="宋体"/>
      <w:b/>
      <w:smallCaps/>
      <w:color w:val="800000"/>
      <w:sz w:val="32"/>
      <w:szCs w:val="32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numPr>
        <w:ilvl w:val="1"/>
        <w:numId w:val="1"/>
      </w:numPr>
      <w:spacing w:before="40"/>
      <w:outlineLvl w:val="1"/>
    </w:pPr>
    <w:rPr>
      <w:rFonts w:cs="宋体" w:eastAsia="宋体"/>
      <w:b/>
      <w:smallCaps/>
      <w:color w:val="008000"/>
      <w:sz w:val="28"/>
      <w:szCs w:val="28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numPr>
        <w:ilvl w:val="2"/>
        <w:numId w:val="1"/>
      </w:numPr>
      <w:spacing w:before="40"/>
      <w:outlineLvl w:val="2"/>
    </w:pPr>
    <w:rPr>
      <w:rFonts w:cs="宋体" w:eastAsia="宋体"/>
      <w:b/>
      <w:color w:val="002060"/>
      <w:sz w:val="26"/>
      <w:szCs w:val="24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numPr>
        <w:ilvl w:val="3"/>
        <w:numId w:val="1"/>
      </w:numPr>
      <w:spacing w:before="40"/>
      <w:outlineLvl w:val="3"/>
    </w:pPr>
    <w:rPr>
      <w:rFonts w:cs="宋体" w:eastAsia="宋体"/>
      <w:b/>
      <w:iCs/>
      <w:color w:val="c00000"/>
      <w:sz w:val="24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numPr>
        <w:ilvl w:val="4"/>
        <w:numId w:val="1"/>
      </w:numPr>
      <w:spacing w:before="40"/>
      <w:outlineLvl w:val="4"/>
    </w:pPr>
    <w:rPr>
      <w:rFonts w:cs="宋体" w:eastAsia="宋体"/>
      <w:b/>
      <w:color w:val="660066"/>
      <w:sz w:val="24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numPr>
        <w:ilvl w:val="5"/>
        <w:numId w:val="1"/>
      </w:numPr>
      <w:spacing w:before="40"/>
      <w:outlineLvl w:val="5"/>
    </w:pPr>
    <w:rPr>
      <w:rFonts w:cs="宋体" w:eastAsia="宋体"/>
      <w:b/>
      <w:sz w:val="24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numPr>
        <w:ilvl w:val="6"/>
        <w:numId w:val="1"/>
      </w:numPr>
      <w:spacing w:before="40"/>
      <w:outlineLvl w:val="6"/>
    </w:pPr>
    <w:rPr>
      <w:rFonts w:ascii="Cambria" w:cs="宋体" w:eastAsia="宋体" w:hAnsi="Cambria"/>
      <w:i/>
      <w:iCs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numPr>
        <w:ilvl w:val="7"/>
        <w:numId w:val="1"/>
      </w:numPr>
      <w:spacing w:before="40"/>
      <w:outlineLvl w:val="7"/>
    </w:pPr>
    <w:rPr>
      <w:rFonts w:ascii="Cambria" w:cs="宋体" w:eastAsia="宋体" w:hAnsi="Cambria"/>
      <w:color w:val="262626"/>
      <w:sz w:val="21"/>
      <w:szCs w:val="21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numPr>
        <w:ilvl w:val="8"/>
        <w:numId w:val="1"/>
      </w:numPr>
      <w:spacing w:before="40"/>
      <w:outlineLvl w:val="8"/>
    </w:pPr>
    <w:rPr>
      <w:rFonts w:ascii="Cambria" w:cs="宋体" w:eastAsia="宋体" w:hAnsi="Cambria"/>
      <w:i/>
      <w:iCs/>
      <w:color w:val="262626"/>
      <w:sz w:val="21"/>
      <w:szCs w:val="21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Titre 1 Car"/>
    <w:basedOn w:val="style65"/>
    <w:next w:val="style4097"/>
    <w:link w:val="style1"/>
    <w:uiPriority w:val="9"/>
    <w:rPr>
      <w:rFonts w:ascii="Times New Roman" w:cs="宋体" w:eastAsia="宋体" w:hAnsi="Times New Roman"/>
      <w:b/>
      <w:smallCaps/>
      <w:color w:val="800000"/>
      <w:sz w:val="32"/>
      <w:szCs w:val="32"/>
    </w:rPr>
  </w:style>
  <w:style w:type="character" w:customStyle="1" w:styleId="style4098">
    <w:name w:val="Titre 2 Car"/>
    <w:basedOn w:val="style65"/>
    <w:next w:val="style4098"/>
    <w:link w:val="style2"/>
    <w:uiPriority w:val="9"/>
    <w:rPr>
      <w:rFonts w:ascii="Times New Roman" w:cs="宋体" w:eastAsia="宋体" w:hAnsi="Times New Roman"/>
      <w:b/>
      <w:smallCaps/>
      <w:color w:val="008000"/>
      <w:sz w:val="28"/>
      <w:szCs w:val="28"/>
    </w:rPr>
  </w:style>
  <w:style w:type="character" w:customStyle="1" w:styleId="style4099">
    <w:name w:val="Titre 3 Car"/>
    <w:basedOn w:val="style65"/>
    <w:next w:val="style4099"/>
    <w:link w:val="style3"/>
    <w:uiPriority w:val="9"/>
    <w:rPr>
      <w:rFonts w:ascii="Times New Roman" w:cs="宋体" w:eastAsia="宋体" w:hAnsi="Times New Roman"/>
      <w:b/>
      <w:color w:val="002060"/>
      <w:sz w:val="26"/>
      <w:szCs w:val="24"/>
    </w:rPr>
  </w:style>
  <w:style w:type="character" w:customStyle="1" w:styleId="style4100">
    <w:name w:val="Titre 4 Car"/>
    <w:basedOn w:val="style65"/>
    <w:next w:val="style4100"/>
    <w:link w:val="style4"/>
    <w:uiPriority w:val="9"/>
    <w:rPr>
      <w:rFonts w:ascii="Times New Roman" w:cs="宋体" w:eastAsia="宋体" w:hAnsi="Times New Roman"/>
      <w:b/>
      <w:iCs/>
      <w:color w:val="c00000"/>
      <w:sz w:val="24"/>
    </w:rPr>
  </w:style>
  <w:style w:type="character" w:customStyle="1" w:styleId="style4101">
    <w:name w:val="Titre 5 Car"/>
    <w:basedOn w:val="style65"/>
    <w:next w:val="style4101"/>
    <w:link w:val="style5"/>
    <w:uiPriority w:val="9"/>
    <w:rPr>
      <w:rFonts w:ascii="Times New Roman" w:cs="宋体" w:eastAsia="宋体" w:hAnsi="Times New Roman"/>
      <w:b/>
      <w:color w:val="660066"/>
      <w:sz w:val="24"/>
    </w:rPr>
  </w:style>
  <w:style w:type="character" w:customStyle="1" w:styleId="style4102">
    <w:name w:val="Titre 6 Car"/>
    <w:basedOn w:val="style65"/>
    <w:next w:val="style4102"/>
    <w:link w:val="style6"/>
    <w:uiPriority w:val="9"/>
    <w:rPr>
      <w:rFonts w:ascii="Times New Roman" w:cs="宋体" w:eastAsia="宋体" w:hAnsi="Times New Roman"/>
      <w:b/>
      <w:sz w:val="24"/>
    </w:rPr>
  </w:style>
  <w:style w:type="character" w:customStyle="1" w:styleId="style4103">
    <w:name w:val="Titre 7 Car"/>
    <w:basedOn w:val="style65"/>
    <w:next w:val="style4103"/>
    <w:link w:val="style7"/>
    <w:uiPriority w:val="9"/>
    <w:rPr>
      <w:rFonts w:ascii="Cambria" w:cs="宋体" w:eastAsia="宋体" w:hAnsi="Cambria"/>
      <w:i/>
      <w:iCs/>
    </w:rPr>
  </w:style>
  <w:style w:type="character" w:customStyle="1" w:styleId="style4104">
    <w:name w:val="Titre 8 Car"/>
    <w:basedOn w:val="style65"/>
    <w:next w:val="style4104"/>
    <w:link w:val="style8"/>
    <w:uiPriority w:val="9"/>
    <w:rPr>
      <w:rFonts w:ascii="Cambria" w:cs="宋体" w:eastAsia="宋体" w:hAnsi="Cambria"/>
      <w:color w:val="262626"/>
      <w:sz w:val="21"/>
      <w:szCs w:val="21"/>
    </w:rPr>
  </w:style>
  <w:style w:type="character" w:customStyle="1" w:styleId="style4105">
    <w:name w:val="Titre 9 Car"/>
    <w:basedOn w:val="style65"/>
    <w:next w:val="style4105"/>
    <w:link w:val="style9"/>
    <w:uiPriority w:val="9"/>
    <w:rPr>
      <w:rFonts w:ascii="Cambria" w:cs="宋体" w:eastAsia="宋体" w:hAnsi="Cambria"/>
      <w:i/>
      <w:iCs/>
      <w:color w:val="262626"/>
      <w:sz w:val="21"/>
      <w:szCs w:val="21"/>
    </w:rPr>
  </w:style>
  <w:style w:type="paragraph" w:styleId="style34">
    <w:name w:val="caption"/>
    <w:basedOn w:val="style0"/>
    <w:next w:val="style0"/>
    <w:qFormat/>
    <w:uiPriority w:val="35"/>
    <w:pPr>
      <w:spacing w:after="200" w:lineRule="auto" w:line="240"/>
    </w:pPr>
    <w:rPr>
      <w:i/>
      <w:iCs/>
      <w:color w:val="1f497d"/>
      <w:sz w:val="18"/>
      <w:szCs w:val="18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lineRule="auto" w:line="240"/>
      <w:jc w:val="center"/>
      <w:contextualSpacing/>
    </w:pPr>
    <w:rPr>
      <w:rFonts w:ascii="Cambria" w:cs="宋体" w:eastAsia="宋体" w:hAnsi="Cambria"/>
      <w:color w:val="002060"/>
      <w:spacing w:val="-10"/>
      <w:sz w:val="48"/>
      <w:szCs w:val="56"/>
      <w:lang w:val="fr-FR"/>
    </w:rPr>
  </w:style>
  <w:style w:type="character" w:customStyle="1" w:styleId="style4106">
    <w:name w:val="Titre Car"/>
    <w:basedOn w:val="style65"/>
    <w:next w:val="style4106"/>
    <w:link w:val="style62"/>
    <w:uiPriority w:val="10"/>
    <w:rPr>
      <w:rFonts w:ascii="Cambria" w:cs="宋体" w:eastAsia="宋体" w:hAnsi="Cambria"/>
      <w:color w:val="002060"/>
      <w:spacing w:val="-10"/>
      <w:sz w:val="48"/>
      <w:szCs w:val="56"/>
      <w:lang w:val="fr-FR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ascii="Calibri" w:hAnsi="Calibri"/>
      <w:color w:val="5a5a5a"/>
      <w:spacing w:val="15"/>
    </w:rPr>
  </w:style>
  <w:style w:type="character" w:customStyle="1" w:styleId="style4107">
    <w:name w:val="Sous-titre Car"/>
    <w:basedOn w:val="style65"/>
    <w:next w:val="style4107"/>
    <w:link w:val="style74"/>
    <w:uiPriority w:val="11"/>
    <w:rPr>
      <w:color w:val="5a5a5a"/>
      <w:spacing w:val="15"/>
    </w:rPr>
  </w:style>
  <w:style w:type="character" w:styleId="style87">
    <w:name w:val="Strong"/>
    <w:basedOn w:val="style65"/>
    <w:next w:val="style87"/>
    <w:qFormat/>
    <w:uiPriority w:val="22"/>
    <w:rPr>
      <w:b/>
      <w:bCs/>
      <w:color w:val="auto"/>
    </w:rPr>
  </w:style>
  <w:style w:type="character" w:styleId="style88">
    <w:name w:val="Emphasis"/>
    <w:basedOn w:val="style65"/>
    <w:next w:val="style88"/>
    <w:qFormat/>
    <w:uiPriority w:val="20"/>
    <w:rPr>
      <w:i/>
      <w:iCs/>
      <w:color w:val="auto"/>
    </w:rPr>
  </w:style>
  <w:style w:type="paragraph" w:styleId="style157">
    <w:name w:val="No Spacing"/>
    <w:next w:val="style157"/>
    <w:link w:val="style4110"/>
    <w:qFormat/>
    <w:uiPriority w:val="1"/>
    <w:pPr>
      <w:spacing w:lineRule="auto" w:line="240"/>
    </w:pPr>
    <w:r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80">
    <w:name w:val="Quote"/>
    <w:basedOn w:val="style0"/>
    <w:next w:val="style0"/>
    <w:link w:val="style4108"/>
    <w:qFormat/>
    <w:uiPriority w:val="29"/>
    <w:pPr>
      <w:spacing w:before="200"/>
      <w:ind w:left="864" w:right="864"/>
    </w:pPr>
    <w:rPr>
      <w:rFonts w:ascii="Calibri" w:hAnsi="Calibri"/>
      <w:i/>
      <w:iCs/>
      <w:color w:val="404040"/>
    </w:rPr>
  </w:style>
  <w:style w:type="character" w:customStyle="1" w:styleId="style4108">
    <w:name w:val="Citation Car"/>
    <w:basedOn w:val="style65"/>
    <w:next w:val="style4108"/>
    <w:link w:val="style180"/>
    <w:uiPriority w:val="29"/>
    <w:rPr>
      <w:i/>
      <w:iCs/>
      <w:color w:val="404040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404040"/>
        <w:bottom w:val="single" w:sz="4" w:space="10" w:color="404040"/>
      </w:pBdr>
      <w:spacing w:before="360" w:after="360"/>
      <w:ind w:left="864" w:right="864"/>
      <w:jc w:val="center"/>
    </w:pPr>
    <w:rPr>
      <w:rFonts w:ascii="Calibri" w:hAnsi="Calibri"/>
      <w:i/>
      <w:iCs/>
      <w:color w:val="404040"/>
    </w:rPr>
  </w:style>
  <w:style w:type="character" w:customStyle="1" w:styleId="style4109">
    <w:name w:val="Citation intense Car"/>
    <w:basedOn w:val="style65"/>
    <w:next w:val="style4109"/>
    <w:link w:val="style181"/>
    <w:uiPriority w:val="30"/>
    <w:rPr>
      <w:i/>
      <w:iCs/>
      <w:color w:val="404040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40404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auto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404040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404040"/>
      <w:spacing w:val="5"/>
    </w:rPr>
  </w:style>
  <w:style w:type="character" w:styleId="style264">
    <w:name w:val="Book Title"/>
    <w:basedOn w:val="style65"/>
    <w:next w:val="style264"/>
    <w:qFormat/>
    <w:uiPriority w:val="33"/>
    <w:rPr>
      <w:b/>
      <w:bCs/>
      <w:i/>
      <w:iC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paragraph" w:styleId="style19">
    <w:name w:val="toc 1"/>
    <w:basedOn w:val="style0"/>
    <w:next w:val="style0"/>
    <w:uiPriority w:val="39"/>
    <w:pPr>
      <w:spacing w:after="100"/>
    </w:pPr>
    <w:rPr>
      <w:color w:val="c00000"/>
    </w:rPr>
  </w:style>
  <w:style w:type="character" w:customStyle="1" w:styleId="style4110">
    <w:name w:val="Sans interligne Car"/>
    <w:next w:val="style4110"/>
    <w:link w:val="style157"/>
    <w:uiPriority w:val="1"/>
  </w:style>
  <w:style w:type="paragraph" w:styleId="style31">
    <w:name w:val="header"/>
    <w:basedOn w:val="style0"/>
    <w:next w:val="style31"/>
    <w:link w:val="style4111"/>
    <w:uiPriority w:val="99"/>
    <w:pPr>
      <w:tabs>
        <w:tab w:val="center" w:leader="none" w:pos="4536"/>
        <w:tab w:val="right" w:leader="none" w:pos="9072"/>
      </w:tabs>
      <w:spacing w:lineRule="auto" w:line="240"/>
    </w:pPr>
    <w:rPr/>
  </w:style>
  <w:style w:type="character" w:customStyle="1" w:styleId="style4111">
    <w:name w:val="En-tête Car"/>
    <w:basedOn w:val="style65"/>
    <w:next w:val="style4111"/>
    <w:link w:val="style31"/>
    <w:uiPriority w:val="99"/>
  </w:style>
  <w:style w:type="paragraph" w:styleId="style32">
    <w:name w:val="footer"/>
    <w:basedOn w:val="style0"/>
    <w:next w:val="style32"/>
    <w:link w:val="style4112"/>
    <w:uiPriority w:val="99"/>
    <w:pPr>
      <w:tabs>
        <w:tab w:val="center" w:leader="none" w:pos="4536"/>
        <w:tab w:val="right" w:leader="none" w:pos="9072"/>
      </w:tabs>
      <w:spacing w:lineRule="auto" w:line="240"/>
    </w:pPr>
    <w:rPr/>
  </w:style>
  <w:style w:type="character" w:customStyle="1" w:styleId="style4112">
    <w:name w:val="Pied de page Car"/>
    <w:basedOn w:val="style65"/>
    <w:next w:val="style4112"/>
    <w:link w:val="style32"/>
    <w:uiPriority w:val="99"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Words>579</Words>
  <Pages>1</Pages>
  <Characters>4335</Characters>
  <Application>WPS Office</Application>
  <DocSecurity>0</DocSecurity>
  <Paragraphs>173</Paragraphs>
  <ScaleCrop>false</ScaleCrop>
  <LinksUpToDate>false</LinksUpToDate>
  <CharactersWithSpaces>4832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2025-06-07T01:39:00Z</dcterms:created>
  <dc:creator>RAFANOMEZANTSOA</dc:creator>
  <lastModifiedBy>Redmi Note 7 Pro</lastModifiedBy>
  <dcterms:modified xsi:type="dcterms:W3CDTF">2025-07-21T12:24:48Z</dcterms:modified>
  <revision>17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661bd5fe7ad942ff9dc203822259f5be</vt:lpwstr>
  </property>
</Properties>
</file>